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0A5" w:rsidRDefault="00D250A5" w:rsidP="006728EA">
      <w:pPr>
        <w:jc w:val="right"/>
        <w:rPr>
          <w:lang w:val="ru-RU"/>
        </w:rPr>
      </w:pPr>
    </w:p>
    <w:p w:rsidR="00D250A5" w:rsidRDefault="00D250A5" w:rsidP="006728EA">
      <w:pPr>
        <w:jc w:val="right"/>
      </w:pPr>
      <w:r>
        <w:t>Eelnõu</w:t>
      </w:r>
    </w:p>
    <w:p w:rsidR="00D250A5" w:rsidRPr="00473675" w:rsidRDefault="00D250A5" w:rsidP="006728EA">
      <w:pPr>
        <w:jc w:val="right"/>
        <w:rPr>
          <w:lang w:val="fi-FI"/>
        </w:rPr>
      </w:pPr>
    </w:p>
    <w:p w:rsidR="00D250A5" w:rsidRDefault="00D250A5" w:rsidP="006728EA">
      <w:pPr>
        <w:jc w:val="right"/>
      </w:pPr>
    </w:p>
    <w:p w:rsidR="00D250A5" w:rsidRDefault="00D250A5" w:rsidP="006728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NARVA LINNAVALITSUS</w:t>
      </w:r>
    </w:p>
    <w:p w:rsidR="00D250A5" w:rsidRDefault="00D250A5" w:rsidP="006728EA">
      <w:pPr>
        <w:jc w:val="center"/>
        <w:rPr>
          <w:b/>
          <w:sz w:val="28"/>
          <w:szCs w:val="28"/>
        </w:rPr>
      </w:pPr>
    </w:p>
    <w:p w:rsidR="00D250A5" w:rsidRDefault="00D250A5" w:rsidP="006728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KORRALDUS</w:t>
      </w:r>
    </w:p>
    <w:p w:rsidR="00D250A5" w:rsidRDefault="00D250A5" w:rsidP="006728EA">
      <w:pPr>
        <w:jc w:val="center"/>
        <w:rPr>
          <w:b/>
          <w:sz w:val="28"/>
          <w:szCs w:val="28"/>
        </w:rPr>
      </w:pPr>
    </w:p>
    <w:p w:rsidR="00D250A5" w:rsidRPr="00473675" w:rsidRDefault="00D250A5" w:rsidP="006728EA">
      <w:pPr>
        <w:jc w:val="center"/>
        <w:rPr>
          <w:b/>
          <w:sz w:val="28"/>
          <w:szCs w:val="28"/>
          <w:lang w:val="fi-FI"/>
        </w:rPr>
      </w:pPr>
    </w:p>
    <w:p w:rsidR="00D250A5" w:rsidRPr="00473675" w:rsidRDefault="00D250A5" w:rsidP="006728EA">
      <w:pPr>
        <w:jc w:val="center"/>
        <w:rPr>
          <w:b/>
          <w:sz w:val="28"/>
          <w:szCs w:val="28"/>
          <w:lang w:val="fi-FI"/>
        </w:rPr>
      </w:pPr>
    </w:p>
    <w:p w:rsidR="00D250A5" w:rsidRDefault="00D250A5" w:rsidP="006728EA">
      <w:pPr>
        <w:tabs>
          <w:tab w:val="right" w:pos="9000"/>
        </w:tabs>
      </w:pPr>
      <w:r>
        <w:t>Narva</w:t>
      </w:r>
      <w:r>
        <w:tab/>
        <w:t>_____________ 2013 nr ______</w:t>
      </w:r>
    </w:p>
    <w:p w:rsidR="00D250A5" w:rsidRDefault="00D250A5" w:rsidP="006728EA">
      <w:pPr>
        <w:tabs>
          <w:tab w:val="right" w:pos="9000"/>
        </w:tabs>
      </w:pPr>
    </w:p>
    <w:p w:rsidR="00D250A5" w:rsidRPr="00473675" w:rsidRDefault="00D250A5" w:rsidP="006728EA">
      <w:pPr>
        <w:tabs>
          <w:tab w:val="right" w:pos="9000"/>
        </w:tabs>
        <w:rPr>
          <w:lang w:val="fi-FI"/>
        </w:rPr>
      </w:pPr>
    </w:p>
    <w:p w:rsidR="00D250A5" w:rsidRDefault="00D250A5" w:rsidP="006728EA">
      <w:pPr>
        <w:tabs>
          <w:tab w:val="right" w:pos="9000"/>
        </w:tabs>
      </w:pPr>
    </w:p>
    <w:p w:rsidR="00D250A5" w:rsidRPr="001A26CE" w:rsidRDefault="00D250A5" w:rsidP="006728EA">
      <w:pPr>
        <w:tabs>
          <w:tab w:val="right" w:pos="9000"/>
        </w:tabs>
        <w:rPr>
          <w:b/>
        </w:rPr>
      </w:pPr>
      <w:r w:rsidRPr="001A26CE">
        <w:rPr>
          <w:b/>
        </w:rPr>
        <w:t xml:space="preserve">Linnavara üleandmine </w:t>
      </w:r>
      <w:r w:rsidRPr="002C03DB">
        <w:rPr>
          <w:b/>
        </w:rPr>
        <w:t>Narva</w:t>
      </w:r>
      <w:r w:rsidRPr="00EA664D">
        <w:t xml:space="preserve"> </w:t>
      </w:r>
      <w:r w:rsidRPr="002C03DB">
        <w:rPr>
          <w:b/>
        </w:rPr>
        <w:t>Linna Arenduse ja Ökonoomika Amet</w:t>
      </w:r>
      <w:r>
        <w:rPr>
          <w:b/>
        </w:rPr>
        <w:t>ilt</w:t>
      </w:r>
    </w:p>
    <w:p w:rsidR="00D250A5" w:rsidRPr="001A26CE" w:rsidRDefault="00D250A5" w:rsidP="006728EA">
      <w:pPr>
        <w:tabs>
          <w:tab w:val="right" w:pos="9000"/>
        </w:tabs>
        <w:rPr>
          <w:b/>
          <w:sz w:val="28"/>
          <w:szCs w:val="28"/>
        </w:rPr>
      </w:pPr>
      <w:r>
        <w:rPr>
          <w:b/>
        </w:rPr>
        <w:t xml:space="preserve">Narva Linnavalitsuse </w:t>
      </w:r>
      <w:r w:rsidRPr="00CD0349">
        <w:rPr>
          <w:b/>
        </w:rPr>
        <w:t>Arhitektuuri-</w:t>
      </w:r>
      <w:r>
        <w:rPr>
          <w:b/>
        </w:rPr>
        <w:t xml:space="preserve"> </w:t>
      </w:r>
      <w:r w:rsidRPr="00CD0349">
        <w:rPr>
          <w:b/>
        </w:rPr>
        <w:t>ja Linnaplaneerimise</w:t>
      </w:r>
      <w:r w:rsidRPr="001A26CE">
        <w:rPr>
          <w:b/>
        </w:rPr>
        <w:t xml:space="preserve"> Ametile</w:t>
      </w:r>
      <w:r w:rsidRPr="001A26CE">
        <w:rPr>
          <w:b/>
          <w:sz w:val="28"/>
          <w:szCs w:val="28"/>
          <w:highlight w:val="lightGray"/>
        </w:rPr>
        <w:t xml:space="preserve"> </w:t>
      </w:r>
    </w:p>
    <w:p w:rsidR="00D250A5" w:rsidRDefault="00D250A5" w:rsidP="006728EA">
      <w:pPr>
        <w:tabs>
          <w:tab w:val="right" w:pos="9000"/>
        </w:tabs>
        <w:rPr>
          <w:b/>
        </w:rPr>
      </w:pPr>
    </w:p>
    <w:p w:rsidR="00D250A5" w:rsidRPr="001A26CE" w:rsidRDefault="00D250A5" w:rsidP="006728EA">
      <w:pPr>
        <w:tabs>
          <w:tab w:val="right" w:pos="9000"/>
        </w:tabs>
        <w:rPr>
          <w:b/>
        </w:rPr>
      </w:pPr>
    </w:p>
    <w:p w:rsidR="00D250A5" w:rsidRPr="001A26CE" w:rsidRDefault="00D250A5" w:rsidP="006728EA">
      <w:pPr>
        <w:numPr>
          <w:ilvl w:val="0"/>
          <w:numId w:val="1"/>
        </w:numPr>
        <w:tabs>
          <w:tab w:val="clear" w:pos="720"/>
          <w:tab w:val="num" w:pos="360"/>
          <w:tab w:val="right" w:pos="9000"/>
        </w:tabs>
        <w:ind w:hanging="720"/>
        <w:rPr>
          <w:b/>
        </w:rPr>
      </w:pPr>
      <w:r w:rsidRPr="001A26CE">
        <w:rPr>
          <w:b/>
        </w:rPr>
        <w:t>ASJAOLUD JA MENETLUSE KÄIK</w:t>
      </w:r>
    </w:p>
    <w:p w:rsidR="00D250A5" w:rsidRPr="001A26CE" w:rsidRDefault="00D250A5" w:rsidP="006728EA">
      <w:pPr>
        <w:tabs>
          <w:tab w:val="right" w:pos="9000"/>
        </w:tabs>
        <w:rPr>
          <w:b/>
        </w:rPr>
      </w:pPr>
    </w:p>
    <w:p w:rsidR="00D250A5" w:rsidRPr="001A26CE" w:rsidRDefault="00D250A5" w:rsidP="006728EA">
      <w:pPr>
        <w:tabs>
          <w:tab w:val="left" w:pos="6660"/>
          <w:tab w:val="right" w:pos="9000"/>
        </w:tabs>
        <w:rPr>
          <w:lang w:val="fi-FI"/>
        </w:rPr>
      </w:pPr>
      <w:r w:rsidRPr="001A26CE">
        <w:t xml:space="preserve">Narva Linnavolikogu 28.06.2012 otsusega  nr 94  kinnitati Narva ametiasutuste struktuur ja teenistujate koosseis. Sellest tulenevalt annab </w:t>
      </w:r>
      <w:r w:rsidRPr="002C03DB">
        <w:t>Narva Linna Arenduse ja Ökonoomika</w:t>
      </w:r>
      <w:r w:rsidRPr="00337CF5">
        <w:t xml:space="preserve"> </w:t>
      </w:r>
      <w:r w:rsidRPr="002C03DB">
        <w:t>Amet</w:t>
      </w:r>
      <w:r w:rsidRPr="003E07CE">
        <w:t xml:space="preserve">, kellele on alates 01.04.2013 üle läinud endise Narva Linnavalitsuse Linnavara- ja Majandusameti põhiülesanded, </w:t>
      </w:r>
      <w:r w:rsidRPr="003E07CE">
        <w:rPr>
          <w:b/>
        </w:rPr>
        <w:t xml:space="preserve"> </w:t>
      </w:r>
      <w:r w:rsidRPr="003E07CE">
        <w:t>Arhitektuuri- ja Linnaplaneerimise Ametile üle materiaalsed vahendid vastavalt alltoodud nimekirjale</w:t>
      </w:r>
      <w:r w:rsidRPr="001A26CE">
        <w:rPr>
          <w:lang w:val="fi-FI"/>
        </w:rPr>
        <w:t>.</w:t>
      </w:r>
    </w:p>
    <w:p w:rsidR="00D250A5" w:rsidRPr="001A26CE" w:rsidRDefault="00D250A5" w:rsidP="006728EA">
      <w:pPr>
        <w:tabs>
          <w:tab w:val="right" w:pos="9000"/>
        </w:tabs>
      </w:pPr>
    </w:p>
    <w:p w:rsidR="00D250A5" w:rsidRPr="001A26CE" w:rsidRDefault="00D250A5" w:rsidP="006728EA">
      <w:pPr>
        <w:tabs>
          <w:tab w:val="right" w:pos="9000"/>
        </w:tabs>
        <w:rPr>
          <w:b/>
        </w:rPr>
      </w:pPr>
      <w:r w:rsidRPr="001A26CE">
        <w:rPr>
          <w:b/>
        </w:rPr>
        <w:t>2 . ÕIGUSLIKUD ALUSED</w:t>
      </w:r>
    </w:p>
    <w:p w:rsidR="00D250A5" w:rsidRPr="001A26CE" w:rsidRDefault="00D250A5" w:rsidP="006728EA">
      <w:pPr>
        <w:tabs>
          <w:tab w:val="right" w:pos="9000"/>
        </w:tabs>
      </w:pPr>
    </w:p>
    <w:p w:rsidR="00D250A5" w:rsidRPr="001A26CE" w:rsidRDefault="00D250A5" w:rsidP="006728EA">
      <w:pPr>
        <w:tabs>
          <w:tab w:val="right" w:pos="9000"/>
        </w:tabs>
      </w:pPr>
      <w:r w:rsidRPr="001A26CE">
        <w:t>Korraldus võetakse vastu kohaliku omavalitsuse korralduse seaduse § 30 lõike 1 punkti 2  ja Narva Linnavolikogu 21.06.2005. a määrusega nr 20/57 kinnitatud „Linnavara eeskirja“ punkti 24 alusel.</w:t>
      </w:r>
    </w:p>
    <w:p w:rsidR="00D250A5" w:rsidRPr="001A26CE" w:rsidRDefault="00D250A5" w:rsidP="006728EA">
      <w:pPr>
        <w:tabs>
          <w:tab w:val="right" w:pos="9000"/>
        </w:tabs>
      </w:pPr>
    </w:p>
    <w:p w:rsidR="00D250A5" w:rsidRPr="001A26CE" w:rsidRDefault="00D250A5" w:rsidP="006728EA">
      <w:pPr>
        <w:tabs>
          <w:tab w:val="right" w:pos="9000"/>
        </w:tabs>
        <w:rPr>
          <w:b/>
        </w:rPr>
      </w:pPr>
      <w:r w:rsidRPr="001A26CE">
        <w:rPr>
          <w:b/>
        </w:rPr>
        <w:t>3. OTSUS</w:t>
      </w:r>
    </w:p>
    <w:p w:rsidR="00D250A5" w:rsidRPr="001A26CE" w:rsidRDefault="00D250A5" w:rsidP="006728EA">
      <w:pPr>
        <w:tabs>
          <w:tab w:val="right" w:pos="9000"/>
        </w:tabs>
      </w:pPr>
    </w:p>
    <w:p w:rsidR="00D250A5" w:rsidRPr="00473675" w:rsidRDefault="00D250A5" w:rsidP="006728EA">
      <w:pPr>
        <w:tabs>
          <w:tab w:val="right" w:pos="9000"/>
        </w:tabs>
        <w:rPr>
          <w:sz w:val="22"/>
          <w:szCs w:val="22"/>
          <w:lang w:val="fi-FI"/>
        </w:rPr>
      </w:pPr>
      <w:r w:rsidRPr="002C03DB">
        <w:t xml:space="preserve">Narva Linna Arenduse ja Ökonoomika </w:t>
      </w:r>
      <w:r w:rsidRPr="003E07CE">
        <w:t xml:space="preserve">Ametil </w:t>
      </w:r>
      <w:r w:rsidRPr="003E07CE">
        <w:rPr>
          <w:sz w:val="22"/>
          <w:szCs w:val="22"/>
        </w:rPr>
        <w:t>anda</w:t>
      </w:r>
      <w:r w:rsidRPr="00473675">
        <w:rPr>
          <w:color w:val="0000FF"/>
          <w:sz w:val="22"/>
          <w:szCs w:val="22"/>
        </w:rPr>
        <w:t xml:space="preserve"> </w:t>
      </w:r>
      <w:r w:rsidRPr="001A26CE">
        <w:t>Ar</w:t>
      </w:r>
      <w:r>
        <w:t xml:space="preserve">hitektuuri- </w:t>
      </w:r>
      <w:r w:rsidRPr="001A26CE">
        <w:t xml:space="preserve">ja </w:t>
      </w:r>
      <w:r>
        <w:t>Linnaplaneerimise</w:t>
      </w:r>
      <w:r w:rsidRPr="001A26CE">
        <w:t xml:space="preserve"> Ametile </w:t>
      </w:r>
      <w:r w:rsidRPr="001A26CE">
        <w:rPr>
          <w:sz w:val="22"/>
          <w:szCs w:val="22"/>
        </w:rPr>
        <w:t xml:space="preserve">üle järgmine vara: </w:t>
      </w:r>
    </w:p>
    <w:tbl>
      <w:tblPr>
        <w:tblW w:w="8369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20"/>
        <w:gridCol w:w="807"/>
        <w:gridCol w:w="2120"/>
        <w:gridCol w:w="1600"/>
        <w:gridCol w:w="1040"/>
        <w:gridCol w:w="610"/>
        <w:gridCol w:w="685"/>
        <w:gridCol w:w="887"/>
      </w:tblGrid>
      <w:tr w:rsidR="00D250A5" w:rsidRPr="002C03DB" w:rsidTr="003E07CE">
        <w:trPr>
          <w:trHeight w:val="31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D250A5" w:rsidRPr="002C03DB" w:rsidRDefault="00D250A5" w:rsidP="002C03DB">
            <w:pPr>
              <w:suppressAutoHyphens w:val="0"/>
              <w:jc w:val="center"/>
              <w:rPr>
                <w:b/>
                <w:bCs/>
                <w:lang w:eastAsia="et-EE"/>
              </w:rPr>
            </w:pPr>
            <w:r w:rsidRPr="002C03DB">
              <w:rPr>
                <w:b/>
                <w:bCs/>
                <w:lang w:eastAsia="et-EE"/>
              </w:rPr>
              <w:t>Nr.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50A5" w:rsidRPr="002C03DB" w:rsidRDefault="00D250A5" w:rsidP="002C03DB">
            <w:pPr>
              <w:suppressAutoHyphens w:val="0"/>
              <w:jc w:val="center"/>
              <w:rPr>
                <w:b/>
                <w:bCs/>
                <w:color w:val="000000"/>
                <w:lang w:eastAsia="et-EE"/>
              </w:rPr>
            </w:pPr>
            <w:proofErr w:type="spellStart"/>
            <w:r w:rsidRPr="002C03DB">
              <w:rPr>
                <w:b/>
                <w:bCs/>
                <w:color w:val="000000"/>
                <w:lang w:eastAsia="et-EE"/>
              </w:rPr>
              <w:t>Inven-</w:t>
            </w:r>
            <w:proofErr w:type="spellEnd"/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50A5" w:rsidRPr="002C03DB" w:rsidRDefault="00D250A5" w:rsidP="002C03DB">
            <w:pPr>
              <w:suppressAutoHyphens w:val="0"/>
              <w:jc w:val="center"/>
              <w:rPr>
                <w:b/>
                <w:bCs/>
                <w:lang w:eastAsia="et-EE"/>
              </w:rPr>
            </w:pPr>
            <w:r w:rsidRPr="002C03DB">
              <w:rPr>
                <w:b/>
                <w:bCs/>
                <w:lang w:eastAsia="et-EE"/>
              </w:rPr>
              <w:t>Vara nimetus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50A5" w:rsidRPr="002C03DB" w:rsidRDefault="00D250A5" w:rsidP="002C03DB">
            <w:pPr>
              <w:suppressAutoHyphens w:val="0"/>
              <w:jc w:val="center"/>
              <w:rPr>
                <w:b/>
                <w:bCs/>
                <w:lang w:eastAsia="et-EE"/>
              </w:rPr>
            </w:pPr>
            <w:r w:rsidRPr="002C03DB">
              <w:rPr>
                <w:b/>
                <w:bCs/>
                <w:lang w:eastAsia="et-EE"/>
              </w:rPr>
              <w:t>Aadress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b/>
                <w:bCs/>
                <w:lang w:eastAsia="et-EE"/>
              </w:rPr>
            </w:pPr>
            <w:r w:rsidRPr="002C03DB">
              <w:rPr>
                <w:b/>
                <w:bCs/>
                <w:lang w:eastAsia="et-EE"/>
              </w:rPr>
              <w:t>Bilanssi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t-EE"/>
              </w:rPr>
            </w:pPr>
            <w:r w:rsidRPr="002C03DB">
              <w:rPr>
                <w:b/>
                <w:bCs/>
                <w:sz w:val="18"/>
                <w:szCs w:val="18"/>
                <w:lang w:eastAsia="et-EE"/>
              </w:rPr>
              <w:t>Mõõt-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b/>
                <w:bCs/>
                <w:color w:val="0000FF"/>
                <w:lang w:eastAsia="et-EE"/>
              </w:rPr>
            </w:pPr>
            <w:r w:rsidRPr="002C03DB">
              <w:rPr>
                <w:b/>
                <w:bCs/>
                <w:color w:val="0000FF"/>
                <w:lang w:eastAsia="et-EE"/>
              </w:rPr>
              <w:t>Algsaldo</w:t>
            </w:r>
          </w:p>
        </w:tc>
      </w:tr>
      <w:tr w:rsidR="00D250A5" w:rsidRPr="002C03DB" w:rsidTr="003E07CE">
        <w:trPr>
          <w:trHeight w:val="31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250A5" w:rsidRPr="002C03DB" w:rsidRDefault="00D250A5" w:rsidP="002C03DB">
            <w:pPr>
              <w:suppressAutoHyphens w:val="0"/>
              <w:rPr>
                <w:b/>
                <w:bCs/>
                <w:lang w:eastAsia="et-EE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50A5" w:rsidRPr="002C03DB" w:rsidRDefault="00D250A5" w:rsidP="002C03DB">
            <w:pPr>
              <w:suppressAutoHyphens w:val="0"/>
              <w:jc w:val="center"/>
              <w:rPr>
                <w:b/>
                <w:bCs/>
                <w:color w:val="000000"/>
                <w:lang w:eastAsia="et-EE"/>
              </w:rPr>
            </w:pPr>
            <w:r w:rsidRPr="002C03DB">
              <w:rPr>
                <w:b/>
                <w:bCs/>
                <w:color w:val="000000"/>
                <w:lang w:eastAsia="et-EE"/>
              </w:rPr>
              <w:t>tari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50A5" w:rsidRPr="002C03DB" w:rsidRDefault="00D250A5" w:rsidP="002C03DB">
            <w:pPr>
              <w:suppressAutoHyphens w:val="0"/>
              <w:rPr>
                <w:b/>
                <w:bCs/>
                <w:lang w:eastAsia="et-EE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250A5" w:rsidRPr="002C03DB" w:rsidRDefault="00D250A5" w:rsidP="002C03DB">
            <w:pPr>
              <w:suppressAutoHyphens w:val="0"/>
              <w:rPr>
                <w:b/>
                <w:bCs/>
                <w:lang w:eastAsia="et-E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b/>
                <w:bCs/>
                <w:lang w:eastAsia="et-EE"/>
              </w:rPr>
            </w:pPr>
            <w:r w:rsidRPr="002C03DB">
              <w:rPr>
                <w:b/>
                <w:bCs/>
                <w:lang w:eastAsia="et-EE"/>
              </w:rPr>
              <w:t xml:space="preserve">võtmise 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et-EE"/>
              </w:rPr>
            </w:pPr>
            <w:r w:rsidRPr="002C03DB">
              <w:rPr>
                <w:b/>
                <w:bCs/>
                <w:sz w:val="18"/>
                <w:szCs w:val="18"/>
                <w:lang w:eastAsia="et-EE"/>
              </w:rPr>
              <w:t>ühik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b/>
                <w:bCs/>
                <w:color w:val="0000FF"/>
                <w:lang w:eastAsia="et-EE"/>
              </w:rPr>
            </w:pPr>
            <w:r w:rsidRPr="002C03DB">
              <w:rPr>
                <w:b/>
                <w:bCs/>
                <w:color w:val="0000FF"/>
                <w:lang w:eastAsia="et-EE"/>
              </w:rPr>
              <w:t xml:space="preserve"> 31.03.2013 </w:t>
            </w:r>
          </w:p>
        </w:tc>
      </w:tr>
      <w:tr w:rsidR="00D250A5" w:rsidRPr="002C03DB" w:rsidTr="003E07CE">
        <w:trPr>
          <w:trHeight w:val="31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250A5" w:rsidRPr="002C03DB" w:rsidRDefault="00D250A5" w:rsidP="002C03DB">
            <w:pPr>
              <w:suppressAutoHyphens w:val="0"/>
              <w:rPr>
                <w:b/>
                <w:bCs/>
                <w:lang w:eastAsia="et-EE"/>
              </w:rPr>
            </w:pPr>
          </w:p>
        </w:tc>
        <w:tc>
          <w:tcPr>
            <w:tcW w:w="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A5" w:rsidRPr="002C03DB" w:rsidRDefault="00D250A5" w:rsidP="002C03DB">
            <w:pPr>
              <w:suppressAutoHyphens w:val="0"/>
              <w:jc w:val="center"/>
              <w:rPr>
                <w:b/>
                <w:bCs/>
                <w:color w:val="000000"/>
                <w:lang w:eastAsia="et-EE"/>
              </w:rPr>
            </w:pPr>
            <w:r w:rsidRPr="002C03DB">
              <w:rPr>
                <w:b/>
                <w:bCs/>
                <w:color w:val="000000"/>
                <w:lang w:eastAsia="et-EE"/>
              </w:rPr>
              <w:t>nr</w:t>
            </w:r>
          </w:p>
        </w:tc>
        <w:tc>
          <w:tcPr>
            <w:tcW w:w="21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0A5" w:rsidRPr="002C03DB" w:rsidRDefault="00D250A5" w:rsidP="002C03DB">
            <w:pPr>
              <w:suppressAutoHyphens w:val="0"/>
              <w:rPr>
                <w:b/>
                <w:bCs/>
                <w:lang w:eastAsia="et-EE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A5" w:rsidRPr="002C03DB" w:rsidRDefault="00D250A5" w:rsidP="002C03DB">
            <w:pPr>
              <w:suppressAutoHyphens w:val="0"/>
              <w:rPr>
                <w:b/>
                <w:bCs/>
                <w:lang w:eastAsia="et-E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b/>
                <w:bCs/>
                <w:lang w:eastAsia="et-EE"/>
              </w:rPr>
            </w:pPr>
            <w:r w:rsidRPr="002C03DB">
              <w:rPr>
                <w:b/>
                <w:bCs/>
                <w:lang w:eastAsia="et-EE"/>
              </w:rPr>
              <w:t>kuupäev</w:t>
            </w:r>
          </w:p>
        </w:tc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b/>
                <w:bCs/>
                <w:lang w:eastAsia="et-EE"/>
              </w:rPr>
            </w:pPr>
            <w:r w:rsidRPr="002C03DB">
              <w:rPr>
                <w:b/>
                <w:bCs/>
                <w:lang w:eastAsia="et-EE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et-EE"/>
              </w:rPr>
            </w:pPr>
            <w:r w:rsidRPr="002C03DB">
              <w:rPr>
                <w:b/>
                <w:bCs/>
                <w:sz w:val="20"/>
                <w:szCs w:val="20"/>
                <w:lang w:eastAsia="et-EE"/>
              </w:rPr>
              <w:t>Kogus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b/>
                <w:bCs/>
                <w:lang w:eastAsia="et-EE"/>
              </w:rPr>
            </w:pPr>
            <w:r w:rsidRPr="002C03DB">
              <w:rPr>
                <w:b/>
                <w:bCs/>
                <w:lang w:eastAsia="et-EE"/>
              </w:rPr>
              <w:t>summa</w:t>
            </w:r>
          </w:p>
        </w:tc>
      </w:tr>
      <w:tr w:rsidR="00D250A5" w:rsidRPr="002C03DB" w:rsidTr="003E07CE">
        <w:trPr>
          <w:trHeight w:val="21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0A5" w:rsidRPr="002C03DB" w:rsidRDefault="00D250A5" w:rsidP="002C03D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et-EE"/>
              </w:rPr>
            </w:pPr>
            <w:r w:rsidRPr="002C03DB">
              <w:rPr>
                <w:color w:val="000000"/>
                <w:sz w:val="16"/>
                <w:szCs w:val="16"/>
                <w:lang w:eastAsia="et-EE"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0A5" w:rsidRPr="002C03DB" w:rsidRDefault="00D250A5" w:rsidP="002C03D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et-EE"/>
              </w:rPr>
            </w:pPr>
            <w:r w:rsidRPr="002C03DB">
              <w:rPr>
                <w:color w:val="000000"/>
                <w:sz w:val="16"/>
                <w:szCs w:val="16"/>
                <w:lang w:eastAsia="et-EE"/>
              </w:rPr>
              <w:t>2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0A5" w:rsidRPr="002C03DB" w:rsidRDefault="00D250A5" w:rsidP="002C03D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et-EE"/>
              </w:rPr>
            </w:pPr>
            <w:r w:rsidRPr="002C03DB">
              <w:rPr>
                <w:color w:val="000000"/>
                <w:sz w:val="16"/>
                <w:szCs w:val="16"/>
                <w:lang w:eastAsia="et-EE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0A5" w:rsidRPr="002C03DB" w:rsidRDefault="00D250A5" w:rsidP="002C03D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et-EE"/>
              </w:rPr>
            </w:pPr>
            <w:r w:rsidRPr="002C03DB">
              <w:rPr>
                <w:color w:val="000000"/>
                <w:sz w:val="16"/>
                <w:szCs w:val="16"/>
                <w:lang w:eastAsia="et-EE"/>
              </w:rPr>
              <w:t>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0A5" w:rsidRPr="002C03DB" w:rsidRDefault="00D250A5" w:rsidP="002C03D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et-EE"/>
              </w:rPr>
            </w:pPr>
            <w:r w:rsidRPr="002C03DB">
              <w:rPr>
                <w:color w:val="000000"/>
                <w:sz w:val="16"/>
                <w:szCs w:val="16"/>
                <w:lang w:eastAsia="et-EE"/>
              </w:rPr>
              <w:t>5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0A5" w:rsidRPr="002C03DB" w:rsidRDefault="00D250A5" w:rsidP="002C03D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et-EE"/>
              </w:rPr>
            </w:pPr>
            <w:r w:rsidRPr="002C03DB">
              <w:rPr>
                <w:color w:val="000000"/>
                <w:sz w:val="16"/>
                <w:szCs w:val="16"/>
                <w:lang w:eastAsia="et-EE"/>
              </w:rPr>
              <w:t>6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0A5" w:rsidRPr="002C03DB" w:rsidRDefault="00D250A5" w:rsidP="002C03D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et-EE"/>
              </w:rPr>
            </w:pPr>
            <w:r w:rsidRPr="002C03DB">
              <w:rPr>
                <w:color w:val="000000"/>
                <w:sz w:val="16"/>
                <w:szCs w:val="16"/>
                <w:lang w:eastAsia="et-EE"/>
              </w:rPr>
              <w:t>7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50A5" w:rsidRPr="002C03DB" w:rsidRDefault="00D250A5" w:rsidP="002C03DB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et-EE"/>
              </w:rPr>
            </w:pPr>
            <w:r w:rsidRPr="002C03DB">
              <w:rPr>
                <w:color w:val="000000"/>
                <w:sz w:val="16"/>
                <w:szCs w:val="16"/>
                <w:lang w:eastAsia="et-EE"/>
              </w:rPr>
              <w:t>8</w:t>
            </w:r>
          </w:p>
        </w:tc>
      </w:tr>
      <w:tr w:rsidR="00D250A5" w:rsidRPr="002C03DB" w:rsidTr="003E07CE">
        <w:trPr>
          <w:trHeight w:val="62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399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781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Monitor HP L1702/1730 TFT 17"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 xml:space="preserve">Peetri plats 3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21.12.2004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tk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right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 xml:space="preserve">    292,37</w:t>
            </w:r>
          </w:p>
        </w:tc>
      </w:tr>
      <w:tr w:rsidR="00D250A5" w:rsidRPr="002C03DB" w:rsidTr="003E07CE">
        <w:trPr>
          <w:trHeight w:val="39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441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707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 xml:space="preserve">Tool  </w:t>
            </w:r>
            <w:proofErr w:type="spellStart"/>
            <w:r w:rsidRPr="002C03DB">
              <w:rPr>
                <w:sz w:val="20"/>
                <w:szCs w:val="20"/>
                <w:lang w:eastAsia="et-EE"/>
              </w:rPr>
              <w:t>Arkcadia+käetoed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 xml:space="preserve">Peetri plats 3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XII-2003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tk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right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100,60</w:t>
            </w:r>
          </w:p>
        </w:tc>
      </w:tr>
      <w:tr w:rsidR="00D250A5" w:rsidRPr="002C03DB" w:rsidTr="003E07CE">
        <w:trPr>
          <w:trHeight w:val="40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455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871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 xml:space="preserve">Töötool käetugedega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 xml:space="preserve">Peetri plats 3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XII-2005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tk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right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113,74</w:t>
            </w:r>
          </w:p>
        </w:tc>
      </w:tr>
      <w:tr w:rsidR="00D250A5" w:rsidRPr="002C03DB" w:rsidTr="003E07CE">
        <w:trPr>
          <w:trHeight w:val="48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lastRenderedPageBreak/>
              <w:t>456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970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 xml:space="preserve">Tugitool      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 xml:space="preserve">Peetri plats 3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17.04.2007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tk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right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89,48</w:t>
            </w:r>
          </w:p>
        </w:tc>
      </w:tr>
      <w:tr w:rsidR="00D250A5" w:rsidRPr="002C03DB" w:rsidTr="003E07CE">
        <w:trPr>
          <w:trHeight w:val="55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457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974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 xml:space="preserve">Tugitool      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 xml:space="preserve">Peetri plats 3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17.04.2007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tk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right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89,48</w:t>
            </w:r>
          </w:p>
        </w:tc>
        <w:bookmarkStart w:id="0" w:name="_GoBack"/>
        <w:bookmarkEnd w:id="0"/>
      </w:tr>
      <w:tr w:rsidR="00D250A5" w:rsidRPr="002C03DB" w:rsidTr="003E07CE">
        <w:trPr>
          <w:trHeight w:val="46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460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1134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Tugitool  Tantal SP-A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 xml:space="preserve">Peetri plats 3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03.09.2009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tk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right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85,16</w:t>
            </w:r>
          </w:p>
        </w:tc>
      </w:tr>
      <w:tr w:rsidR="00D250A5" w:rsidRPr="002C03DB" w:rsidTr="003E07CE">
        <w:trPr>
          <w:trHeight w:val="52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461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1042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 xml:space="preserve">Tugitool  Manager </w:t>
            </w:r>
            <w:proofErr w:type="spellStart"/>
            <w:r w:rsidRPr="002C03DB">
              <w:rPr>
                <w:sz w:val="20"/>
                <w:szCs w:val="20"/>
                <w:lang w:eastAsia="et-EE"/>
              </w:rPr>
              <w:t>chrome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 xml:space="preserve">Peetri plats 3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27.12.2007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tk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right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92,02</w:t>
            </w:r>
          </w:p>
        </w:tc>
      </w:tr>
      <w:tr w:rsidR="00D250A5" w:rsidRPr="002C03DB" w:rsidTr="003E07CE">
        <w:trPr>
          <w:trHeight w:val="4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462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1043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 xml:space="preserve">Tugitool  MADRID  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 xml:space="preserve">Peetri plats 3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01.02.2008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tk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right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216,11</w:t>
            </w:r>
          </w:p>
        </w:tc>
      </w:tr>
      <w:tr w:rsidR="00D250A5" w:rsidRPr="002C03DB" w:rsidTr="003E07CE">
        <w:trPr>
          <w:trHeight w:val="51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463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1097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 xml:space="preserve">Tugitool  Tantal SP-A 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 xml:space="preserve">Peetri plats 3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20.11.2008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tk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right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86,61</w:t>
            </w:r>
          </w:p>
        </w:tc>
      </w:tr>
      <w:tr w:rsidR="00D250A5" w:rsidRPr="002C03DB" w:rsidTr="003E07CE">
        <w:trPr>
          <w:trHeight w:val="48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467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676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Kapp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 xml:space="preserve">Peetri plats 3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XII-2003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tk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right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125,52</w:t>
            </w:r>
          </w:p>
        </w:tc>
      </w:tr>
      <w:tr w:rsidR="00D250A5" w:rsidRPr="002C03DB" w:rsidTr="003E07CE">
        <w:trPr>
          <w:trHeight w:val="66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468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677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Kapp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 xml:space="preserve">Peetri plats 3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XII-2003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tk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right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125,52</w:t>
            </w:r>
          </w:p>
        </w:tc>
      </w:tr>
      <w:tr w:rsidR="00D250A5" w:rsidRPr="002C03DB" w:rsidTr="003E07CE">
        <w:trPr>
          <w:trHeight w:val="52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469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678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Kapp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 xml:space="preserve">Peetri plats 3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XII-2003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tk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right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107,76</w:t>
            </w:r>
          </w:p>
        </w:tc>
      </w:tr>
      <w:tr w:rsidR="00D250A5" w:rsidRPr="002C03DB" w:rsidTr="003E07CE">
        <w:trPr>
          <w:trHeight w:val="52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477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1022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Kapp ANK325119 kask/U063 (riidekapp)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 xml:space="preserve">Peetri plats 3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27.12.2007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tk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right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148,53</w:t>
            </w:r>
          </w:p>
        </w:tc>
      </w:tr>
      <w:tr w:rsidR="00D250A5" w:rsidRPr="002C03DB" w:rsidTr="003E07CE">
        <w:trPr>
          <w:trHeight w:val="52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478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1018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Kapp ANK303017 kask/U063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 xml:space="preserve">Peetri plats 3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27.12.2007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tk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right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115,23</w:t>
            </w:r>
          </w:p>
        </w:tc>
      </w:tr>
      <w:tr w:rsidR="00D250A5" w:rsidRPr="002C03DB" w:rsidTr="003E07CE">
        <w:trPr>
          <w:trHeight w:val="52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479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1019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Kapp ANK303017 kask/U063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 xml:space="preserve">Peetri plats 3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27.12.2007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tk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right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115,23</w:t>
            </w:r>
          </w:p>
        </w:tc>
      </w:tr>
      <w:tr w:rsidR="00D250A5" w:rsidRPr="002C03DB" w:rsidTr="003E07CE">
        <w:trPr>
          <w:trHeight w:val="52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481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1021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Kapp ANK303017 kask/U063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 xml:space="preserve">Peetri plats 3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27.12.2007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tk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right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115,23</w:t>
            </w:r>
          </w:p>
        </w:tc>
      </w:tr>
      <w:tr w:rsidR="00D250A5" w:rsidRPr="002C03DB" w:rsidTr="003E07CE">
        <w:trPr>
          <w:trHeight w:val="52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482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1037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Kapp ANK373017 kask/U063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 xml:space="preserve">Peetri plats 3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27.12.2007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tk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right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96,51</w:t>
            </w:r>
          </w:p>
        </w:tc>
      </w:tr>
      <w:tr w:rsidR="00D250A5" w:rsidRPr="002C03DB" w:rsidTr="003E07CE">
        <w:trPr>
          <w:trHeight w:val="52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483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1038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Kapp ANK373017 kask/U063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 xml:space="preserve">Peetri plats 3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27.12.2007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tk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right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96,51</w:t>
            </w:r>
          </w:p>
        </w:tc>
      </w:tr>
      <w:tr w:rsidR="00D250A5" w:rsidRPr="002C03DB" w:rsidTr="003E07CE">
        <w:trPr>
          <w:trHeight w:val="52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484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1033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Kapp ANK303017, kask/U063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 xml:space="preserve">Peetri plats 3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17.12.2007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tk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right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115,23</w:t>
            </w:r>
          </w:p>
        </w:tc>
      </w:tr>
      <w:tr w:rsidR="00D250A5" w:rsidRPr="002C03DB" w:rsidTr="003E07CE">
        <w:trPr>
          <w:trHeight w:val="52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485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1034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Kapp ANK303017, kask/U063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 xml:space="preserve">Peetri plats 3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17.12.2007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tk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right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115,23</w:t>
            </w:r>
          </w:p>
        </w:tc>
      </w:tr>
      <w:tr w:rsidR="00D250A5" w:rsidRPr="002C03DB" w:rsidTr="003E07CE">
        <w:trPr>
          <w:trHeight w:val="52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486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1035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Kapp ANK303017, kask/U063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 xml:space="preserve">Peetri plats 3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17.12.2007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tk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right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115,23</w:t>
            </w:r>
          </w:p>
        </w:tc>
      </w:tr>
      <w:tr w:rsidR="00D250A5" w:rsidRPr="002C03DB" w:rsidTr="003E07CE">
        <w:trPr>
          <w:trHeight w:val="52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487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1036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Kapp ANK303017, kask/U063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 xml:space="preserve">Peetri plats 3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17.12.2007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tk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right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115,23</w:t>
            </w:r>
          </w:p>
        </w:tc>
      </w:tr>
      <w:tr w:rsidR="00D250A5" w:rsidRPr="002C03DB" w:rsidTr="003E07CE">
        <w:trPr>
          <w:trHeight w:val="52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488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1027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Kapp ANK301-017 kask/U063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 xml:space="preserve">Peetri plats 3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17.12.2007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tk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right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105,58</w:t>
            </w:r>
          </w:p>
        </w:tc>
      </w:tr>
      <w:tr w:rsidR="00D250A5" w:rsidRPr="002C03DB" w:rsidTr="003E07CE">
        <w:trPr>
          <w:trHeight w:val="52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489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1026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Dokumendi kapp ANK303017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 xml:space="preserve">Peetri plats 3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17.12.2007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tk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right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115,23</w:t>
            </w:r>
          </w:p>
        </w:tc>
      </w:tr>
      <w:tr w:rsidR="00D250A5" w:rsidRPr="002C03DB" w:rsidTr="003E07CE">
        <w:trPr>
          <w:trHeight w:val="52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490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978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Dokumendi kapp ANK303017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 xml:space="preserve">Peetri plats 3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05.07.2007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tk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right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115,23</w:t>
            </w:r>
          </w:p>
        </w:tc>
      </w:tr>
      <w:tr w:rsidR="00D250A5" w:rsidRPr="002C03DB" w:rsidTr="003E07CE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491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979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Riidekapp ANK325119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 xml:space="preserve">Peetri plats 3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05.07.2007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tk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right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148,53</w:t>
            </w:r>
          </w:p>
        </w:tc>
      </w:tr>
      <w:tr w:rsidR="00D250A5" w:rsidRPr="002C03DB" w:rsidTr="003E07CE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492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1023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Riidekapp ANK325119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 xml:space="preserve">Peetri plats 3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17.12.2007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tk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right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113,09</w:t>
            </w:r>
          </w:p>
        </w:tc>
      </w:tr>
      <w:tr w:rsidR="00D250A5" w:rsidRPr="002C03DB" w:rsidTr="003E07CE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493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1032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Riidekapp ANK325119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 xml:space="preserve">Peetri plats 3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17.12.2007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tk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right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113,09</w:t>
            </w:r>
          </w:p>
        </w:tc>
      </w:tr>
      <w:tr w:rsidR="00D250A5" w:rsidRPr="002C03DB" w:rsidTr="003E07CE">
        <w:trPr>
          <w:trHeight w:val="52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lastRenderedPageBreak/>
              <w:t>502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1109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 xml:space="preserve">Töökoht 2050*2050 mm laminaat </w:t>
            </w:r>
            <w:proofErr w:type="spellStart"/>
            <w:r w:rsidRPr="002C03DB">
              <w:rPr>
                <w:sz w:val="20"/>
                <w:szCs w:val="20"/>
                <w:lang w:eastAsia="et-EE"/>
              </w:rPr>
              <w:t>pöök+must</w:t>
            </w:r>
            <w:proofErr w:type="spellEnd"/>
            <w:r w:rsidRPr="002C03DB">
              <w:rPr>
                <w:sz w:val="20"/>
                <w:szCs w:val="20"/>
                <w:lang w:eastAsia="et-EE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 xml:space="preserve">Peetri plats 3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18.12.2008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tk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right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473,39</w:t>
            </w:r>
          </w:p>
        </w:tc>
      </w:tr>
      <w:tr w:rsidR="00D250A5" w:rsidRPr="002C03DB" w:rsidTr="003E07CE">
        <w:trPr>
          <w:trHeight w:val="49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504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679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Stellaaž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 xml:space="preserve">Peetri plats 3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XII-2003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tk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right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107,76</w:t>
            </w:r>
          </w:p>
        </w:tc>
      </w:tr>
      <w:tr w:rsidR="00D250A5" w:rsidRPr="002C03DB" w:rsidTr="003E07C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505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681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Stellaaž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 xml:space="preserve">Peetri plats 3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XII-2003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tk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right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193,65</w:t>
            </w:r>
          </w:p>
        </w:tc>
      </w:tr>
      <w:tr w:rsidR="00D250A5" w:rsidRPr="002C03DB" w:rsidTr="003E07CE">
        <w:trPr>
          <w:trHeight w:val="49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506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682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Stellaaž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 xml:space="preserve">Peetri plats 3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XII-2003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tk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right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136,52</w:t>
            </w:r>
          </w:p>
        </w:tc>
      </w:tr>
      <w:tr w:rsidR="00D250A5" w:rsidRPr="002C03DB" w:rsidTr="003E07C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507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683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Stellaaž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 xml:space="preserve">Peetri plats 3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XII-2003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tk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right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136,52</w:t>
            </w:r>
          </w:p>
        </w:tc>
      </w:tr>
      <w:tr w:rsidR="00D250A5" w:rsidRPr="002C03DB" w:rsidTr="003E07C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508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685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Stellaaž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 xml:space="preserve">Peetri plats 3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XII-2003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tk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right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74,97</w:t>
            </w:r>
          </w:p>
        </w:tc>
      </w:tr>
      <w:tr w:rsidR="00D250A5" w:rsidRPr="002C03DB" w:rsidTr="003E07CE">
        <w:trPr>
          <w:trHeight w:val="49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509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684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Stellaaž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 xml:space="preserve">Peetri plats 3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XII-2003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tk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right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136,52</w:t>
            </w:r>
          </w:p>
        </w:tc>
      </w:tr>
      <w:tr w:rsidR="00D250A5" w:rsidRPr="002C03DB" w:rsidTr="003E07C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529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1024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 xml:space="preserve">Riiul ANK301 U063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 xml:space="preserve">Peetri plats 3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17.12.2007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tk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right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70,88</w:t>
            </w:r>
          </w:p>
        </w:tc>
      </w:tr>
      <w:tr w:rsidR="00D250A5" w:rsidRPr="002C03DB" w:rsidTr="003E07C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530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1028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 xml:space="preserve">Riiul ANK363 U063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 xml:space="preserve">Peetri plats 3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17.12.2007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tk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right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70,88</w:t>
            </w:r>
          </w:p>
        </w:tc>
      </w:tr>
      <w:tr w:rsidR="00D250A5" w:rsidRPr="002C03DB" w:rsidTr="003E07CE">
        <w:trPr>
          <w:trHeight w:val="49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536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690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Laud ümar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 xml:space="preserve">Peetri plats 3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XII-2003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tk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right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68,71</w:t>
            </w:r>
          </w:p>
        </w:tc>
      </w:tr>
      <w:tr w:rsidR="00D250A5" w:rsidRPr="002C03DB" w:rsidTr="003E07CE">
        <w:trPr>
          <w:trHeight w:val="51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537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995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 xml:space="preserve">Laud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 xml:space="preserve">Peetri plats 3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17.04.2007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tk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right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332,99</w:t>
            </w:r>
          </w:p>
        </w:tc>
      </w:tr>
      <w:tr w:rsidR="00D250A5" w:rsidRPr="002C03DB" w:rsidTr="003E07CE">
        <w:trPr>
          <w:trHeight w:val="51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538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996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 xml:space="preserve">Laud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 xml:space="preserve">Peetri plats 3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17.04.2007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tk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right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332,99</w:t>
            </w:r>
          </w:p>
        </w:tc>
      </w:tr>
      <w:tr w:rsidR="00D250A5" w:rsidRPr="002C03DB" w:rsidTr="003E07CE">
        <w:trPr>
          <w:trHeight w:val="51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539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997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 xml:space="preserve">Laud        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 xml:space="preserve">Peetri plats 3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17.04.2007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tk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right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332,99</w:t>
            </w:r>
          </w:p>
        </w:tc>
      </w:tr>
      <w:tr w:rsidR="00D250A5" w:rsidRPr="002C03DB" w:rsidTr="003E07CE">
        <w:trPr>
          <w:trHeight w:val="51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540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998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Laud -poolümar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 xml:space="preserve">Peetri plats 3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18.05.2007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tk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right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103,76</w:t>
            </w:r>
          </w:p>
        </w:tc>
      </w:tr>
      <w:tr w:rsidR="00D250A5" w:rsidRPr="002C03DB" w:rsidTr="003E07C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543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1031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 xml:space="preserve">Laud </w:t>
            </w:r>
            <w:proofErr w:type="spellStart"/>
            <w:r w:rsidRPr="002C03DB">
              <w:rPr>
                <w:sz w:val="20"/>
                <w:szCs w:val="20"/>
                <w:lang w:eastAsia="et-EE"/>
              </w:rPr>
              <w:t>Antri</w:t>
            </w:r>
            <w:proofErr w:type="spellEnd"/>
            <w:r w:rsidRPr="002C03DB">
              <w:rPr>
                <w:sz w:val="20"/>
                <w:szCs w:val="20"/>
                <w:lang w:eastAsia="et-EE"/>
              </w:rPr>
              <w:t xml:space="preserve"> kask/U063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 xml:space="preserve">Peetri plats 3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27.12.2007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tk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right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310,35</w:t>
            </w:r>
          </w:p>
        </w:tc>
      </w:tr>
      <w:tr w:rsidR="00D250A5" w:rsidRPr="002C03DB" w:rsidTr="003E07C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544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1030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 xml:space="preserve">Laud </w:t>
            </w:r>
            <w:proofErr w:type="spellStart"/>
            <w:r w:rsidRPr="002C03DB">
              <w:rPr>
                <w:sz w:val="20"/>
                <w:szCs w:val="20"/>
                <w:lang w:eastAsia="et-EE"/>
              </w:rPr>
              <w:t>Antri</w:t>
            </w:r>
            <w:proofErr w:type="spellEnd"/>
            <w:r w:rsidRPr="002C03DB">
              <w:rPr>
                <w:sz w:val="20"/>
                <w:szCs w:val="20"/>
                <w:lang w:eastAsia="et-EE"/>
              </w:rPr>
              <w:t xml:space="preserve"> kask/U063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 xml:space="preserve">Peetri plats 3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27.12.2007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tk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right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334,19</w:t>
            </w:r>
          </w:p>
        </w:tc>
      </w:tr>
      <w:tr w:rsidR="00D250A5" w:rsidRPr="002C03DB" w:rsidTr="003E07C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545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999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 xml:space="preserve">Laud </w:t>
            </w:r>
            <w:proofErr w:type="spellStart"/>
            <w:r w:rsidRPr="002C03DB">
              <w:rPr>
                <w:sz w:val="20"/>
                <w:szCs w:val="20"/>
                <w:lang w:eastAsia="et-EE"/>
              </w:rPr>
              <w:t>Antri</w:t>
            </w:r>
            <w:proofErr w:type="spellEnd"/>
            <w:r w:rsidRPr="002C03DB">
              <w:rPr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2C03DB">
              <w:rPr>
                <w:sz w:val="20"/>
                <w:szCs w:val="20"/>
                <w:lang w:eastAsia="et-EE"/>
              </w:rPr>
              <w:t>Junior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 xml:space="preserve">Peetri plats 3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05.07.2007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tk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right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152,30</w:t>
            </w:r>
          </w:p>
        </w:tc>
      </w:tr>
      <w:tr w:rsidR="00D250A5" w:rsidRPr="002C03DB" w:rsidTr="003E07C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546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1000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 xml:space="preserve">Laud </w:t>
            </w:r>
            <w:proofErr w:type="spellStart"/>
            <w:r w:rsidRPr="002C03DB">
              <w:rPr>
                <w:sz w:val="20"/>
                <w:szCs w:val="20"/>
                <w:lang w:eastAsia="et-EE"/>
              </w:rPr>
              <w:t>Antri</w:t>
            </w:r>
            <w:proofErr w:type="spellEnd"/>
            <w:r w:rsidRPr="002C03DB">
              <w:rPr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2C03DB">
              <w:rPr>
                <w:sz w:val="20"/>
                <w:szCs w:val="20"/>
                <w:lang w:eastAsia="et-EE"/>
              </w:rPr>
              <w:t>Junior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 xml:space="preserve">Peetri plats 3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05.07.2007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tk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right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152,30</w:t>
            </w:r>
          </w:p>
        </w:tc>
      </w:tr>
      <w:tr w:rsidR="00D250A5" w:rsidRPr="002C03DB" w:rsidTr="003E07C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547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1001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Laud ANELP1 sinine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 xml:space="preserve">Peetri plats 3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05.07.2007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tk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right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77,46</w:t>
            </w:r>
          </w:p>
        </w:tc>
      </w:tr>
      <w:tr w:rsidR="00D250A5" w:rsidRPr="002C03DB" w:rsidTr="003E07C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548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1016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 xml:space="preserve">Laud </w:t>
            </w:r>
            <w:proofErr w:type="spellStart"/>
            <w:r w:rsidRPr="002C03DB">
              <w:rPr>
                <w:sz w:val="20"/>
                <w:szCs w:val="20"/>
                <w:lang w:eastAsia="et-EE"/>
              </w:rPr>
              <w:t>Antri</w:t>
            </w:r>
            <w:proofErr w:type="spellEnd"/>
            <w:r w:rsidRPr="002C03DB">
              <w:rPr>
                <w:sz w:val="20"/>
                <w:szCs w:val="20"/>
                <w:lang w:eastAsia="et-EE"/>
              </w:rPr>
              <w:t xml:space="preserve"> kask/U063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 xml:space="preserve">Peetri plats 3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17.12.2007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tk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right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333,11</w:t>
            </w:r>
          </w:p>
        </w:tc>
      </w:tr>
      <w:tr w:rsidR="00D250A5" w:rsidRPr="002C03DB" w:rsidTr="003E07C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549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1015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 xml:space="preserve">Laud </w:t>
            </w:r>
            <w:proofErr w:type="spellStart"/>
            <w:r w:rsidRPr="002C03DB">
              <w:rPr>
                <w:sz w:val="20"/>
                <w:szCs w:val="20"/>
                <w:lang w:eastAsia="et-EE"/>
              </w:rPr>
              <w:t>Antri</w:t>
            </w:r>
            <w:proofErr w:type="spellEnd"/>
            <w:r w:rsidRPr="002C03DB">
              <w:rPr>
                <w:sz w:val="20"/>
                <w:szCs w:val="20"/>
                <w:lang w:eastAsia="et-EE"/>
              </w:rPr>
              <w:t xml:space="preserve"> kask/U063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 xml:space="preserve">Peetri plats 3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17.12.2007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tk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right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330,17</w:t>
            </w:r>
          </w:p>
        </w:tc>
      </w:tr>
      <w:tr w:rsidR="00D250A5" w:rsidRPr="002C03DB" w:rsidTr="003E07C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550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1025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 xml:space="preserve">Laud </w:t>
            </w:r>
            <w:proofErr w:type="spellStart"/>
            <w:r w:rsidRPr="002C03DB">
              <w:rPr>
                <w:sz w:val="20"/>
                <w:szCs w:val="20"/>
                <w:lang w:eastAsia="et-EE"/>
              </w:rPr>
              <w:t>Antri</w:t>
            </w:r>
            <w:proofErr w:type="spellEnd"/>
            <w:r w:rsidRPr="002C03DB">
              <w:rPr>
                <w:sz w:val="20"/>
                <w:szCs w:val="20"/>
                <w:lang w:eastAsia="et-EE"/>
              </w:rPr>
              <w:t xml:space="preserve"> kask/U063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 xml:space="preserve">Peetri plats 3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17.12.2007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tk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right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339,24</w:t>
            </w:r>
          </w:p>
        </w:tc>
      </w:tr>
      <w:tr w:rsidR="00D250A5" w:rsidRPr="002C03DB" w:rsidTr="003E07CE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551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1017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 xml:space="preserve">Laud </w:t>
            </w:r>
            <w:proofErr w:type="spellStart"/>
            <w:r w:rsidRPr="002C03DB">
              <w:rPr>
                <w:sz w:val="20"/>
                <w:szCs w:val="20"/>
                <w:lang w:eastAsia="et-EE"/>
              </w:rPr>
              <w:t>Antri</w:t>
            </w:r>
            <w:proofErr w:type="spellEnd"/>
            <w:r w:rsidRPr="002C03DB">
              <w:rPr>
                <w:sz w:val="20"/>
                <w:szCs w:val="20"/>
                <w:lang w:eastAsia="et-EE"/>
              </w:rPr>
              <w:t xml:space="preserve"> kask/U063 - akna juures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 xml:space="preserve">Peetri plats 3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17.12.2007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tk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right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71,13</w:t>
            </w:r>
          </w:p>
        </w:tc>
      </w:tr>
      <w:tr w:rsidR="00D250A5" w:rsidRPr="002C03DB" w:rsidTr="003E07CE">
        <w:trPr>
          <w:trHeight w:val="49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554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693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Arvutilaud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 xml:space="preserve">Peetri plats 3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XII-2003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tk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right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247,08</w:t>
            </w:r>
          </w:p>
        </w:tc>
      </w:tr>
      <w:tr w:rsidR="00D250A5" w:rsidRPr="002C03DB" w:rsidTr="003E07C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555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694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Arvutilaud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 xml:space="preserve">Peetri plats 3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XII-2003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tk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right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247,08</w:t>
            </w:r>
          </w:p>
        </w:tc>
      </w:tr>
      <w:tr w:rsidR="00D250A5" w:rsidRPr="002C03DB" w:rsidTr="003E07C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556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695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Arvutilaud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 xml:space="preserve">Peetri plats 3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XII-2003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tk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right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247,08</w:t>
            </w:r>
          </w:p>
        </w:tc>
      </w:tr>
      <w:tr w:rsidR="00D250A5" w:rsidRPr="002C03DB" w:rsidTr="003E07CE">
        <w:trPr>
          <w:trHeight w:val="49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557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780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Arvutilaud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 xml:space="preserve">Peetri plats 3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XII-2003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tk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right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247,08</w:t>
            </w:r>
          </w:p>
        </w:tc>
      </w:tr>
      <w:tr w:rsidR="00D250A5" w:rsidRPr="002C03DB" w:rsidTr="003E07C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558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1009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Arvutilaud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 xml:space="preserve">Peetri plats 3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XII-2003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tk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right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247,08</w:t>
            </w:r>
          </w:p>
        </w:tc>
      </w:tr>
      <w:tr w:rsidR="00D250A5" w:rsidRPr="002C03DB" w:rsidTr="003E07CE">
        <w:trPr>
          <w:trHeight w:val="5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566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1113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Söögilaud 1100*700 mm lauplaat 27 mm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 xml:space="preserve">Peetri plats 3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18.12.2008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tk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right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109,10</w:t>
            </w:r>
          </w:p>
        </w:tc>
      </w:tr>
      <w:tr w:rsidR="00D250A5" w:rsidRPr="002C03DB" w:rsidTr="003E07CE">
        <w:trPr>
          <w:trHeight w:val="6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567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1039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Puhkeruumi mööbel (köögis 1 korrus)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 xml:space="preserve">Peetri plats 3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27.12.2007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tk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right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534,11</w:t>
            </w:r>
          </w:p>
        </w:tc>
      </w:tr>
      <w:tr w:rsidR="00D250A5" w:rsidRPr="002C03DB" w:rsidTr="003E07CE">
        <w:trPr>
          <w:trHeight w:val="52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lastRenderedPageBreak/>
              <w:t>570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697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Tumba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 xml:space="preserve">Peetri plats 3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XII-2003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tk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right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97,40</w:t>
            </w:r>
          </w:p>
        </w:tc>
      </w:tr>
      <w:tr w:rsidR="00D250A5" w:rsidRPr="002C03DB" w:rsidTr="003E07CE">
        <w:trPr>
          <w:trHeight w:val="43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571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698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Tumba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 xml:space="preserve">Peetri plats 3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XII-2003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tk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right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97,40</w:t>
            </w:r>
          </w:p>
        </w:tc>
      </w:tr>
      <w:tr w:rsidR="00D250A5" w:rsidRPr="002C03DB" w:rsidTr="003E07CE">
        <w:trPr>
          <w:trHeight w:val="4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572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699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Tumba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 xml:space="preserve">Peetri plats 3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XII-2003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tk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right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97,40</w:t>
            </w:r>
          </w:p>
        </w:tc>
      </w:tr>
      <w:tr w:rsidR="00D250A5" w:rsidRPr="002C03DB" w:rsidTr="003E07CE">
        <w:trPr>
          <w:trHeight w:val="4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573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700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Tumba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 xml:space="preserve">Peetri plats 3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XII-2003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tk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right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97,40</w:t>
            </w:r>
          </w:p>
        </w:tc>
      </w:tr>
      <w:tr w:rsidR="00D250A5" w:rsidRPr="002C03DB" w:rsidTr="003E07CE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574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701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Tumba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 xml:space="preserve">Peetri plats 3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XII-2003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tk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right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97,40</w:t>
            </w:r>
          </w:p>
        </w:tc>
      </w:tr>
      <w:tr w:rsidR="00D250A5" w:rsidRPr="002C03DB" w:rsidTr="003E07CE">
        <w:trPr>
          <w:trHeight w:val="4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575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702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Tumba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 xml:space="preserve">Peetri plats 3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XII-2003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tk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right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78,93</w:t>
            </w:r>
          </w:p>
        </w:tc>
      </w:tr>
      <w:tr w:rsidR="00D250A5" w:rsidRPr="002C03DB" w:rsidTr="003E07CE">
        <w:trPr>
          <w:trHeight w:val="49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580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857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 xml:space="preserve">Tumba             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 xml:space="preserve">Peetri plats 3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XII-2005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tk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right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95,49</w:t>
            </w:r>
          </w:p>
        </w:tc>
      </w:tr>
      <w:tr w:rsidR="00D250A5" w:rsidRPr="002C03DB" w:rsidTr="003E07CE">
        <w:trPr>
          <w:trHeight w:val="52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596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1029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Püstlamellkardinad (III korrusel)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 xml:space="preserve">Peetri plats 3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22.11.2007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tk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right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71,01</w:t>
            </w:r>
          </w:p>
        </w:tc>
      </w:tr>
      <w:tr w:rsidR="00D250A5" w:rsidRPr="002C03DB" w:rsidTr="003E07CE">
        <w:trPr>
          <w:trHeight w:val="78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337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03334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Valvesüsteem (raamatupidamine) - 1 korrus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Peetri plats 3-17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27.04.2007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tk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right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636,18</w:t>
            </w:r>
          </w:p>
        </w:tc>
      </w:tr>
      <w:tr w:rsidR="00D250A5" w:rsidRPr="002C03DB" w:rsidTr="003E07CE">
        <w:trPr>
          <w:trHeight w:val="78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338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03335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Tuletõrje signalisatsioon (raamatupidamises)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Peetri plats 3-17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27.04.2007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tk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right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1 292,55</w:t>
            </w:r>
          </w:p>
        </w:tc>
      </w:tr>
      <w:tr w:rsidR="00D250A5" w:rsidRPr="002C03DB" w:rsidTr="003E07CE">
        <w:trPr>
          <w:trHeight w:val="78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339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03447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Konditsioneer (raamatupidamises-pearaamatupidaja)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Peetri plats 3-17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04.08.2010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tk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right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696,64</w:t>
            </w:r>
          </w:p>
        </w:tc>
      </w:tr>
      <w:tr w:rsidR="00D250A5" w:rsidRPr="002C03DB" w:rsidTr="003E07CE">
        <w:trPr>
          <w:trHeight w:val="78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335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03270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Tuletõrje signalisatsioon ( II korrus)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Peetri plats 3 , II korrus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13.04.2009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tk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right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 xml:space="preserve">    277,38</w:t>
            </w:r>
          </w:p>
        </w:tc>
      </w:tr>
      <w:tr w:rsidR="00D250A5" w:rsidRPr="002C03DB" w:rsidTr="003E07CE">
        <w:trPr>
          <w:trHeight w:val="52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336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03271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Valvesignalisatsioon ( II korrus)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Peetri plats 3 , II korrus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13.04.2009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tk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>1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right"/>
              <w:rPr>
                <w:sz w:val="20"/>
                <w:szCs w:val="20"/>
                <w:lang w:eastAsia="et-EE"/>
              </w:rPr>
            </w:pPr>
            <w:r w:rsidRPr="002C03DB">
              <w:rPr>
                <w:sz w:val="20"/>
                <w:szCs w:val="20"/>
                <w:lang w:eastAsia="et-EE"/>
              </w:rPr>
              <w:t xml:space="preserve">    277,38</w:t>
            </w:r>
          </w:p>
        </w:tc>
      </w:tr>
      <w:tr w:rsidR="00D250A5" w:rsidRPr="002C03DB" w:rsidTr="003E07CE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rPr>
                <w:rFonts w:ascii="Calibri" w:hAnsi="Calibri"/>
                <w:color w:val="000000"/>
                <w:lang w:eastAsia="et-EE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rPr>
                <w:rFonts w:ascii="Calibri" w:hAnsi="Calibri"/>
                <w:color w:val="000000"/>
                <w:lang w:eastAsia="et-EE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rPr>
                <w:rFonts w:ascii="Calibri" w:hAnsi="Calibri"/>
                <w:color w:val="000000"/>
                <w:lang w:eastAsia="et-EE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rPr>
                <w:rFonts w:ascii="Calibri" w:hAnsi="Calibri"/>
                <w:color w:val="000000"/>
                <w:lang w:eastAsia="et-EE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rPr>
                <w:rFonts w:ascii="Calibri" w:hAnsi="Calibri"/>
                <w:color w:val="000000"/>
                <w:lang w:eastAsia="et-EE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rPr>
                <w:rFonts w:ascii="Calibri" w:hAnsi="Calibri"/>
                <w:color w:val="000000"/>
                <w:lang w:eastAsia="et-EE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b/>
                <w:bCs/>
                <w:color w:val="000000"/>
                <w:lang w:eastAsia="et-EE"/>
              </w:rPr>
            </w:pPr>
            <w:r w:rsidRPr="002C03DB">
              <w:rPr>
                <w:b/>
                <w:bCs/>
                <w:color w:val="000000"/>
                <w:sz w:val="22"/>
                <w:szCs w:val="22"/>
                <w:lang w:eastAsia="et-EE"/>
              </w:rPr>
              <w:t>71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0A5" w:rsidRPr="002C03DB" w:rsidRDefault="00D250A5" w:rsidP="002C03DB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2C03DB">
              <w:rPr>
                <w:b/>
                <w:bCs/>
                <w:color w:val="000000"/>
                <w:sz w:val="18"/>
                <w:szCs w:val="18"/>
                <w:lang w:eastAsia="et-EE"/>
              </w:rPr>
              <w:t>13 847,23</w:t>
            </w:r>
          </w:p>
        </w:tc>
      </w:tr>
    </w:tbl>
    <w:p w:rsidR="00D250A5" w:rsidRPr="001A26CE" w:rsidRDefault="00D250A5" w:rsidP="006728EA">
      <w:pPr>
        <w:tabs>
          <w:tab w:val="right" w:pos="9000"/>
        </w:tabs>
        <w:rPr>
          <w:sz w:val="22"/>
          <w:szCs w:val="22"/>
        </w:rPr>
      </w:pPr>
    </w:p>
    <w:p w:rsidR="00D250A5" w:rsidRPr="001A26CE" w:rsidRDefault="00D250A5" w:rsidP="006728EA">
      <w:pPr>
        <w:rPr>
          <w:sz w:val="20"/>
          <w:szCs w:val="20"/>
        </w:rPr>
      </w:pPr>
      <w:r w:rsidRPr="001A26CE">
        <w:rPr>
          <w:sz w:val="20"/>
          <w:szCs w:val="20"/>
        </w:rPr>
        <w:t> </w:t>
      </w:r>
    </w:p>
    <w:p w:rsidR="00D250A5" w:rsidRPr="001A26CE" w:rsidRDefault="00D250A5" w:rsidP="006728EA">
      <w:pPr>
        <w:rPr>
          <w:b/>
        </w:rPr>
      </w:pPr>
      <w:r w:rsidRPr="001A26CE">
        <w:rPr>
          <w:sz w:val="20"/>
          <w:szCs w:val="20"/>
        </w:rPr>
        <w:t> </w:t>
      </w:r>
      <w:r w:rsidRPr="001A26CE">
        <w:rPr>
          <w:b/>
        </w:rPr>
        <w:t>4. RAKENDUSSÄTTED</w:t>
      </w:r>
    </w:p>
    <w:p w:rsidR="00D250A5" w:rsidRPr="001A26CE" w:rsidRDefault="00D250A5" w:rsidP="006728EA">
      <w:pPr>
        <w:tabs>
          <w:tab w:val="right" w:pos="9000"/>
        </w:tabs>
      </w:pPr>
    </w:p>
    <w:p w:rsidR="00D250A5" w:rsidRPr="001A26CE" w:rsidRDefault="00D250A5" w:rsidP="006728EA">
      <w:pPr>
        <w:tabs>
          <w:tab w:val="right" w:pos="9000"/>
        </w:tabs>
      </w:pPr>
      <w:r w:rsidRPr="001A26CE">
        <w:t>4.1.  Korraldust on võimalik vaidlustada Tartu Halduskohtu Jõhvi kohtumajas 30 päeva jooksul arvates korralduse teatavakstegemisest.</w:t>
      </w:r>
    </w:p>
    <w:p w:rsidR="00D250A5" w:rsidRPr="001A26CE" w:rsidRDefault="00D250A5" w:rsidP="006728EA">
      <w:pPr>
        <w:tabs>
          <w:tab w:val="right" w:pos="9000"/>
        </w:tabs>
      </w:pPr>
      <w:r w:rsidRPr="001A26CE">
        <w:t>4.2 Käesolev korraldus jõustub seadusega sätestatud korras.</w:t>
      </w:r>
    </w:p>
    <w:p w:rsidR="00D250A5" w:rsidRPr="001A26CE" w:rsidRDefault="00D250A5" w:rsidP="006728EA">
      <w:pPr>
        <w:tabs>
          <w:tab w:val="right" w:pos="9000"/>
        </w:tabs>
      </w:pPr>
    </w:p>
    <w:p w:rsidR="00D250A5" w:rsidRDefault="00D250A5" w:rsidP="006728EA">
      <w:pPr>
        <w:tabs>
          <w:tab w:val="right" w:pos="9000"/>
        </w:tabs>
      </w:pPr>
    </w:p>
    <w:p w:rsidR="00D250A5" w:rsidRDefault="00D250A5" w:rsidP="006728EA">
      <w:pPr>
        <w:tabs>
          <w:tab w:val="right" w:pos="9000"/>
        </w:tabs>
      </w:pPr>
    </w:p>
    <w:p w:rsidR="00D250A5" w:rsidRPr="001A26CE" w:rsidRDefault="00D250A5" w:rsidP="006728EA">
      <w:pPr>
        <w:tabs>
          <w:tab w:val="right" w:pos="9000"/>
        </w:tabs>
      </w:pPr>
    </w:p>
    <w:p w:rsidR="00D250A5" w:rsidRPr="001A26CE" w:rsidRDefault="00D250A5" w:rsidP="006728EA">
      <w:pPr>
        <w:tabs>
          <w:tab w:val="left" w:pos="7380"/>
        </w:tabs>
        <w:jc w:val="both"/>
      </w:pPr>
      <w:r>
        <w:t xml:space="preserve">Tarmo Tammiste                                                                </w:t>
      </w:r>
      <w:r w:rsidRPr="001A26CE">
        <w:t xml:space="preserve">Ants </w:t>
      </w:r>
      <w:proofErr w:type="spellStart"/>
      <w:r w:rsidRPr="001A26CE">
        <w:t>Liimets</w:t>
      </w:r>
      <w:proofErr w:type="spellEnd"/>
    </w:p>
    <w:p w:rsidR="00D250A5" w:rsidRPr="001A26CE" w:rsidRDefault="00D250A5" w:rsidP="006728EA">
      <w:pPr>
        <w:tabs>
          <w:tab w:val="left" w:pos="7380"/>
        </w:tabs>
      </w:pPr>
      <w:r w:rsidRPr="001A26CE">
        <w:t xml:space="preserve">Linnapea                                                                           </w:t>
      </w:r>
      <w:r>
        <w:t xml:space="preserve">  </w:t>
      </w:r>
      <w:r w:rsidRPr="001A26CE">
        <w:t>Linnasekretär</w:t>
      </w:r>
    </w:p>
    <w:p w:rsidR="00D250A5" w:rsidRPr="001A26CE" w:rsidRDefault="00D250A5" w:rsidP="006728EA"/>
    <w:p w:rsidR="00D250A5" w:rsidRPr="001A26CE" w:rsidRDefault="00D250A5" w:rsidP="006728EA"/>
    <w:sectPr w:rsidR="00D250A5" w:rsidRPr="001A26CE" w:rsidSect="003110A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459E0"/>
    <w:multiLevelType w:val="hybridMultilevel"/>
    <w:tmpl w:val="5C78C41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8EA"/>
    <w:rsid w:val="00075B46"/>
    <w:rsid w:val="001A26CE"/>
    <w:rsid w:val="002C03DB"/>
    <w:rsid w:val="003110AE"/>
    <w:rsid w:val="00337CF5"/>
    <w:rsid w:val="00365B8A"/>
    <w:rsid w:val="003E07CE"/>
    <w:rsid w:val="00473675"/>
    <w:rsid w:val="006728EA"/>
    <w:rsid w:val="007069C2"/>
    <w:rsid w:val="007C4739"/>
    <w:rsid w:val="00CD0349"/>
    <w:rsid w:val="00D250A5"/>
    <w:rsid w:val="00D349C5"/>
    <w:rsid w:val="00E24B7E"/>
    <w:rsid w:val="00EA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8EA"/>
    <w:pPr>
      <w:suppressAutoHyphens/>
    </w:pPr>
    <w:rPr>
      <w:rFonts w:ascii="Times New Roman" w:eastAsia="Times New Roman" w:hAnsi="Times New Roman"/>
      <w:sz w:val="24"/>
      <w:szCs w:val="24"/>
      <w:lang w:val="et-E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C03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03DB"/>
    <w:rPr>
      <w:rFonts w:ascii="Tahoma" w:hAnsi="Tahoma" w:cs="Tahoma"/>
      <w:sz w:val="16"/>
      <w:szCs w:val="16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8EA"/>
    <w:pPr>
      <w:suppressAutoHyphens/>
    </w:pPr>
    <w:rPr>
      <w:rFonts w:ascii="Times New Roman" w:eastAsia="Times New Roman" w:hAnsi="Times New Roman"/>
      <w:sz w:val="24"/>
      <w:szCs w:val="24"/>
      <w:lang w:val="et-E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C03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03DB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8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944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Eelnõu</vt:lpstr>
    </vt:vector>
  </TitlesOfParts>
  <Company>Microsoft</Company>
  <LinksUpToDate>false</LinksUpToDate>
  <CharactersWithSpaces>6412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creator>MARINA</dc:creator>
  <cp:lastModifiedBy>MARINA</cp:lastModifiedBy>
  <cp:revision>2</cp:revision>
  <cp:lastPrinted>2013-05-07T11:11:00Z</cp:lastPrinted>
  <dcterms:created xsi:type="dcterms:W3CDTF">2013-05-10T06:15:00Z</dcterms:created>
  <dcterms:modified xsi:type="dcterms:W3CDTF">2013-05-10T06:15:00Z</dcterms:modified>
</cp:coreProperties>
</file>