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D09" w:rsidRPr="002A32ED" w:rsidRDefault="00DE5D09" w:rsidP="0067464F">
      <w:pPr>
        <w:pStyle w:val="Default"/>
        <w:spacing w:after="120"/>
        <w:jc w:val="center"/>
        <w:rPr>
          <w:rFonts w:ascii="Times New Roman" w:hAnsi="Times New Roman" w:cs="Times New Roman"/>
          <w:b/>
          <w:bCs/>
        </w:rPr>
      </w:pPr>
      <w:bookmarkStart w:id="0" w:name="_GoBack"/>
      <w:bookmarkEnd w:id="0"/>
      <w:r w:rsidRPr="002A32ED">
        <w:rPr>
          <w:rFonts w:ascii="Times New Roman" w:hAnsi="Times New Roman" w:cs="Times New Roman"/>
          <w:b/>
          <w:bCs/>
        </w:rPr>
        <w:t>Riigivara kasutusse andmise leping</w:t>
      </w:r>
    </w:p>
    <w:p w:rsidR="00DE5D09" w:rsidRPr="002A32ED" w:rsidRDefault="00DE5D09" w:rsidP="00BD5132">
      <w:pPr>
        <w:pStyle w:val="Default"/>
        <w:spacing w:after="120"/>
        <w:jc w:val="both"/>
        <w:rPr>
          <w:rFonts w:ascii="Times New Roman" w:hAnsi="Times New Roman" w:cs="Times New Roman"/>
          <w:b/>
          <w:bCs/>
        </w:rPr>
      </w:pPr>
    </w:p>
    <w:p w:rsidR="00DE5D09" w:rsidRPr="002A32ED" w:rsidRDefault="00DE5D09" w:rsidP="00BD5132">
      <w:pPr>
        <w:pStyle w:val="Default"/>
        <w:spacing w:after="120"/>
        <w:jc w:val="both"/>
        <w:rPr>
          <w:rFonts w:ascii="Times New Roman" w:hAnsi="Times New Roman" w:cs="Times New Roman"/>
          <w:bCs/>
        </w:rPr>
      </w:pPr>
      <w:r w:rsidRPr="002A32ED">
        <w:rPr>
          <w:rFonts w:ascii="Times New Roman" w:hAnsi="Times New Roman" w:cs="Times New Roman"/>
          <w:b/>
          <w:bCs/>
        </w:rPr>
        <w:t xml:space="preserve">Maanteeamet, </w:t>
      </w:r>
      <w:r w:rsidRPr="002A32ED">
        <w:rPr>
          <w:rFonts w:ascii="Times New Roman" w:hAnsi="Times New Roman" w:cs="Times New Roman"/>
          <w:bCs/>
        </w:rPr>
        <w:t xml:space="preserve">registrikood 70001490, aadress Pärnu mnt 463a, 10916 Tallinn, keda põhimääruse alusel esindab </w:t>
      </w:r>
      <w:r>
        <w:rPr>
          <w:rFonts w:ascii="Times New Roman" w:hAnsi="Times New Roman" w:cs="Times New Roman"/>
          <w:bCs/>
        </w:rPr>
        <w:t>………….</w:t>
      </w:r>
      <w:r w:rsidRPr="002A32ED">
        <w:rPr>
          <w:rFonts w:ascii="Times New Roman" w:hAnsi="Times New Roman" w:cs="Times New Roman"/>
          <w:bCs/>
        </w:rPr>
        <w:t xml:space="preserve"> (edaspidi Kasutusse andja)</w:t>
      </w:r>
    </w:p>
    <w:p w:rsidR="00DE5D09" w:rsidRPr="002A32ED" w:rsidRDefault="00DE5D09" w:rsidP="00BD5132">
      <w:pPr>
        <w:pStyle w:val="Default"/>
        <w:spacing w:after="120"/>
        <w:jc w:val="both"/>
        <w:rPr>
          <w:rFonts w:ascii="Times New Roman" w:hAnsi="Times New Roman" w:cs="Times New Roman"/>
          <w:bCs/>
        </w:rPr>
      </w:pPr>
      <w:r w:rsidRPr="002A32ED">
        <w:rPr>
          <w:rFonts w:ascii="Times New Roman" w:hAnsi="Times New Roman" w:cs="Times New Roman"/>
          <w:bCs/>
        </w:rPr>
        <w:t>ja</w:t>
      </w:r>
    </w:p>
    <w:p w:rsidR="00DE5D09" w:rsidRPr="002A32ED" w:rsidRDefault="00DE5D09" w:rsidP="00BD5132">
      <w:pPr>
        <w:pStyle w:val="Default"/>
        <w:spacing w:after="120"/>
        <w:jc w:val="both"/>
        <w:rPr>
          <w:rFonts w:ascii="Times New Roman" w:hAnsi="Times New Roman" w:cs="Times New Roman"/>
          <w:bCs/>
        </w:rPr>
      </w:pPr>
      <w:r>
        <w:rPr>
          <w:rFonts w:ascii="Times New Roman" w:hAnsi="Times New Roman" w:cs="Times New Roman"/>
          <w:b/>
          <w:bCs/>
        </w:rPr>
        <w:t>…………</w:t>
      </w:r>
      <w:r>
        <w:rPr>
          <w:rFonts w:ascii="Times New Roman" w:hAnsi="Times New Roman" w:cs="Times New Roman"/>
          <w:bCs/>
        </w:rPr>
        <w:t>, registrikood …………., aadress ……………………………………………..</w:t>
      </w:r>
      <w:r w:rsidRPr="002A32ED">
        <w:rPr>
          <w:rFonts w:ascii="Times New Roman" w:hAnsi="Times New Roman" w:cs="Times New Roman"/>
          <w:bCs/>
        </w:rPr>
        <w:t xml:space="preserve"> keda esindab</w:t>
      </w:r>
      <w:r>
        <w:rPr>
          <w:rFonts w:ascii="Times New Roman" w:hAnsi="Times New Roman" w:cs="Times New Roman"/>
          <w:bCs/>
        </w:rPr>
        <w:t xml:space="preserve"> juhatuse liige</w:t>
      </w:r>
      <w:r w:rsidRPr="002A32ED">
        <w:rPr>
          <w:rFonts w:ascii="Times New Roman" w:hAnsi="Times New Roman" w:cs="Times New Roman"/>
          <w:bCs/>
        </w:rPr>
        <w:t xml:space="preserve"> </w:t>
      </w:r>
      <w:r>
        <w:rPr>
          <w:rFonts w:ascii="Times New Roman" w:hAnsi="Times New Roman" w:cs="Times New Roman"/>
          <w:bCs/>
        </w:rPr>
        <w:t>……………………..</w:t>
      </w:r>
      <w:r w:rsidRPr="002A32ED">
        <w:rPr>
          <w:rFonts w:ascii="Times New Roman" w:hAnsi="Times New Roman" w:cs="Times New Roman"/>
          <w:bCs/>
        </w:rPr>
        <w:t xml:space="preserve"> (edaspidi Kasutaja)</w:t>
      </w:r>
    </w:p>
    <w:p w:rsidR="00DE5D09" w:rsidRPr="002A32ED" w:rsidRDefault="00DE5D09" w:rsidP="00BD5132">
      <w:pPr>
        <w:pStyle w:val="Default"/>
        <w:spacing w:after="120"/>
        <w:jc w:val="both"/>
        <w:rPr>
          <w:rFonts w:ascii="Times New Roman" w:hAnsi="Times New Roman" w:cs="Times New Roman"/>
          <w:bCs/>
        </w:rPr>
      </w:pPr>
      <w:r w:rsidRPr="002A32ED">
        <w:rPr>
          <w:rFonts w:ascii="Times New Roman" w:hAnsi="Times New Roman" w:cs="Times New Roman"/>
          <w:bCs/>
        </w:rPr>
        <w:t>kumbki, edaspidi nimetatud ka „Pool“ või koos „Pooled“ sõlmisid</w:t>
      </w:r>
      <w:r>
        <w:rPr>
          <w:rFonts w:ascii="Times New Roman" w:hAnsi="Times New Roman" w:cs="Times New Roman"/>
          <w:bCs/>
        </w:rPr>
        <w:t xml:space="preserve"> majandus- ja taristuministri ………….. käskkirja nr …………… alusel</w:t>
      </w:r>
      <w:r w:rsidRPr="002A32ED">
        <w:rPr>
          <w:rFonts w:ascii="Times New Roman" w:hAnsi="Times New Roman" w:cs="Times New Roman"/>
          <w:bCs/>
        </w:rPr>
        <w:t xml:space="preserve"> Kasutusse andjale kuuluvate busside (edaspidi Vara) kasutusse andmiseks käesoleva riigivara kasutusse andmise lepingu (edaspidi Leping).</w:t>
      </w:r>
      <w:r w:rsidRPr="002A32ED">
        <w:rPr>
          <w:rFonts w:ascii="Times New Roman" w:hAnsi="Times New Roman" w:cs="Times New Roman"/>
          <w:color w:val="auto"/>
        </w:rPr>
        <w:t xml:space="preserve"> Pooled kinnitavad, et nende esindajate volitused on kehtivad ega pole esindatavate poolt tühistatud ega muudetud ning, et nad omavad kõiki õigusi allkirjastada käesolevat Lepingut selles toodud tingimustel ja korras. Käesoleva Lepingu allkirjastamine ning sellest tulenevate kohustuste täitmine ei riku Poolte kohustusi mistahes Kolmandate isikute ees ning, et Pool on võimeline käesolevas Lepingus ettenähtud toiminguid teostama.</w:t>
      </w:r>
    </w:p>
    <w:p w:rsidR="00DE5D09" w:rsidRPr="002A32ED" w:rsidRDefault="00DE5D09" w:rsidP="00BD5132">
      <w:pPr>
        <w:pStyle w:val="Default"/>
        <w:spacing w:after="120"/>
        <w:jc w:val="both"/>
        <w:rPr>
          <w:rFonts w:ascii="Times New Roman" w:hAnsi="Times New Roman" w:cs="Times New Roman"/>
          <w:bCs/>
        </w:rPr>
      </w:pPr>
    </w:p>
    <w:p w:rsidR="00DE5D09" w:rsidRPr="002A32ED" w:rsidRDefault="00DE5D09" w:rsidP="00BD5132">
      <w:pPr>
        <w:pStyle w:val="Default"/>
        <w:numPr>
          <w:ilvl w:val="0"/>
          <w:numId w:val="3"/>
        </w:numPr>
        <w:spacing w:after="120"/>
        <w:ind w:left="284" w:hanging="284"/>
        <w:jc w:val="both"/>
        <w:rPr>
          <w:rFonts w:ascii="Times New Roman" w:hAnsi="Times New Roman" w:cs="Times New Roman"/>
          <w:b/>
        </w:rPr>
      </w:pPr>
      <w:r w:rsidRPr="002A32ED">
        <w:rPr>
          <w:rFonts w:ascii="Times New Roman" w:hAnsi="Times New Roman" w:cs="Times New Roman"/>
          <w:b/>
          <w:bCs/>
        </w:rPr>
        <w:t xml:space="preserve">Lepingu üldmõisted ja Lepingu dokumendid </w:t>
      </w:r>
    </w:p>
    <w:p w:rsidR="00DE5D09" w:rsidRPr="002A32ED" w:rsidRDefault="00DE5D09" w:rsidP="009E118B">
      <w:pPr>
        <w:pStyle w:val="Default"/>
        <w:numPr>
          <w:ilvl w:val="1"/>
          <w:numId w:val="3"/>
        </w:numPr>
        <w:spacing w:after="120"/>
        <w:ind w:left="426" w:hanging="426"/>
        <w:jc w:val="both"/>
        <w:rPr>
          <w:rFonts w:ascii="Times New Roman" w:hAnsi="Times New Roman" w:cs="Times New Roman"/>
        </w:rPr>
      </w:pPr>
      <w:r w:rsidRPr="002A32ED">
        <w:rPr>
          <w:rFonts w:ascii="Times New Roman" w:hAnsi="Times New Roman" w:cs="Times New Roman"/>
          <w:b/>
          <w:bCs/>
          <w:i/>
          <w:iCs/>
        </w:rPr>
        <w:t xml:space="preserve">Kolmas isik </w:t>
      </w:r>
      <w:r w:rsidRPr="002A32ED">
        <w:rPr>
          <w:rFonts w:ascii="Times New Roman" w:hAnsi="Times New Roman" w:cs="Times New Roman"/>
        </w:rPr>
        <w:t xml:space="preserve">on iga isik, kes ei ole käesoleva Lepingu osaliseks. </w:t>
      </w:r>
    </w:p>
    <w:p w:rsidR="00DE5D09" w:rsidRPr="002A32ED" w:rsidRDefault="00DE5D09" w:rsidP="00BD5132">
      <w:pPr>
        <w:pStyle w:val="Default"/>
        <w:numPr>
          <w:ilvl w:val="1"/>
          <w:numId w:val="3"/>
        </w:numPr>
        <w:spacing w:after="120"/>
        <w:ind w:left="426" w:hanging="426"/>
        <w:jc w:val="both"/>
        <w:rPr>
          <w:rFonts w:ascii="Times New Roman" w:hAnsi="Times New Roman" w:cs="Times New Roman"/>
        </w:rPr>
      </w:pPr>
      <w:r w:rsidRPr="002A32ED">
        <w:rPr>
          <w:rFonts w:ascii="Times New Roman" w:hAnsi="Times New Roman" w:cs="Times New Roman"/>
          <w:b/>
          <w:bCs/>
          <w:i/>
          <w:iCs/>
        </w:rPr>
        <w:t xml:space="preserve">Vara üleandmis-vastuvõtmisakt </w:t>
      </w:r>
      <w:r w:rsidRPr="002A32ED">
        <w:rPr>
          <w:rFonts w:ascii="Times New Roman" w:hAnsi="Times New Roman" w:cs="Times New Roman"/>
        </w:rPr>
        <w:t xml:space="preserve">on Kasutusse andja ja Kasutaja poolt allkirjastatav dokument, milles fikseeritakse Vara vastavus Lepingule ja Vara valduse ülemineku hetk koos sellega kaasneva vastutuse üleminekuga Kasutajale. </w:t>
      </w:r>
    </w:p>
    <w:p w:rsidR="00DE5D09" w:rsidRPr="002A32ED" w:rsidRDefault="00DE5D09" w:rsidP="00BD5132">
      <w:pPr>
        <w:pStyle w:val="Default"/>
        <w:numPr>
          <w:ilvl w:val="1"/>
          <w:numId w:val="3"/>
        </w:numPr>
        <w:spacing w:after="120"/>
        <w:ind w:left="426" w:hanging="426"/>
        <w:jc w:val="both"/>
        <w:rPr>
          <w:rFonts w:ascii="Times New Roman" w:hAnsi="Times New Roman" w:cs="Times New Roman"/>
        </w:rPr>
      </w:pPr>
      <w:r w:rsidRPr="002A32ED">
        <w:rPr>
          <w:rFonts w:ascii="Times New Roman" w:hAnsi="Times New Roman" w:cs="Times New Roman"/>
          <w:bCs/>
          <w:iCs/>
        </w:rPr>
        <w:t>Lepingu dokumendid koosnevad Lepingust, Lepingu lisadest ning Lepingu muudatustest ja kokkulepetest, mida on allkirjastanud mõlemad Pooled</w:t>
      </w:r>
    </w:p>
    <w:p w:rsidR="00DE5D09" w:rsidRPr="002A32ED" w:rsidRDefault="00DE5D09" w:rsidP="00BD5132">
      <w:pPr>
        <w:pStyle w:val="Default"/>
        <w:numPr>
          <w:ilvl w:val="1"/>
          <w:numId w:val="3"/>
        </w:numPr>
        <w:spacing w:after="120"/>
        <w:ind w:left="426" w:hanging="426"/>
        <w:jc w:val="both"/>
        <w:rPr>
          <w:rFonts w:ascii="Times New Roman" w:hAnsi="Times New Roman" w:cs="Times New Roman"/>
        </w:rPr>
      </w:pPr>
      <w:r w:rsidRPr="002A32ED">
        <w:rPr>
          <w:rFonts w:ascii="Times New Roman" w:hAnsi="Times New Roman" w:cs="Times New Roman"/>
          <w:bCs/>
          <w:iCs/>
        </w:rPr>
        <w:t>Lepingul on selle sõlmimise ajal järgmised lisad:</w:t>
      </w:r>
    </w:p>
    <w:p w:rsidR="00DE5D09" w:rsidRPr="002A32ED" w:rsidRDefault="00DE5D09" w:rsidP="007A6FAF">
      <w:pPr>
        <w:pStyle w:val="Default"/>
        <w:spacing w:after="120"/>
        <w:ind w:left="426"/>
        <w:jc w:val="both"/>
        <w:rPr>
          <w:rFonts w:ascii="Times New Roman" w:hAnsi="Times New Roman" w:cs="Times New Roman"/>
          <w:bCs/>
          <w:iCs/>
        </w:rPr>
      </w:pPr>
      <w:r w:rsidRPr="002A32ED">
        <w:rPr>
          <w:rFonts w:ascii="Times New Roman" w:hAnsi="Times New Roman" w:cs="Times New Roman"/>
          <w:bCs/>
          <w:iCs/>
        </w:rPr>
        <w:t>Lisa 1 – Üleandmis-vastuvõtmisakt</w:t>
      </w:r>
      <w:r>
        <w:rPr>
          <w:rFonts w:ascii="Times New Roman" w:hAnsi="Times New Roman" w:cs="Times New Roman"/>
          <w:bCs/>
          <w:iCs/>
        </w:rPr>
        <w:t>i vorm</w:t>
      </w:r>
      <w:r w:rsidRPr="002A32ED">
        <w:rPr>
          <w:rFonts w:ascii="Times New Roman" w:hAnsi="Times New Roman" w:cs="Times New Roman"/>
          <w:bCs/>
          <w:iCs/>
        </w:rPr>
        <w:t>.</w:t>
      </w:r>
    </w:p>
    <w:p w:rsidR="00DE5D09" w:rsidRPr="002A32ED" w:rsidRDefault="00DE5D09" w:rsidP="007A6FAF">
      <w:pPr>
        <w:pStyle w:val="Default"/>
        <w:spacing w:after="120"/>
        <w:ind w:left="426"/>
        <w:jc w:val="both"/>
        <w:rPr>
          <w:rFonts w:ascii="Times New Roman" w:hAnsi="Times New Roman" w:cs="Times New Roman"/>
          <w:bCs/>
          <w:iCs/>
        </w:rPr>
      </w:pPr>
      <w:r w:rsidRPr="002A32ED">
        <w:rPr>
          <w:rFonts w:ascii="Times New Roman" w:hAnsi="Times New Roman" w:cs="Times New Roman"/>
          <w:bCs/>
          <w:iCs/>
        </w:rPr>
        <w:t>Lisa 2 – Vara garantiitingimused ja remondi ja hooldusteenuste keskuste loetelu.</w:t>
      </w:r>
    </w:p>
    <w:p w:rsidR="00DE5D09" w:rsidRPr="002A32ED" w:rsidRDefault="00DE5D09" w:rsidP="009E118B">
      <w:pPr>
        <w:pStyle w:val="Default"/>
        <w:spacing w:after="120"/>
        <w:ind w:left="426"/>
        <w:jc w:val="both"/>
        <w:rPr>
          <w:rFonts w:ascii="Times New Roman" w:hAnsi="Times New Roman" w:cs="Times New Roman"/>
        </w:rPr>
      </w:pPr>
      <w:r w:rsidRPr="002A32ED">
        <w:rPr>
          <w:rFonts w:ascii="Times New Roman" w:hAnsi="Times New Roman" w:cs="Times New Roman"/>
        </w:rPr>
        <w:t>Lisa 3 – Vara kütusekulu arvestus</w:t>
      </w:r>
      <w:r>
        <w:rPr>
          <w:rFonts w:ascii="Times New Roman" w:hAnsi="Times New Roman" w:cs="Times New Roman"/>
        </w:rPr>
        <w:t>e vorm</w:t>
      </w:r>
    </w:p>
    <w:p w:rsidR="00DE5D09" w:rsidRPr="002A32ED" w:rsidRDefault="00DE5D09" w:rsidP="00BD5132">
      <w:pPr>
        <w:pStyle w:val="Default"/>
        <w:numPr>
          <w:ilvl w:val="0"/>
          <w:numId w:val="3"/>
        </w:numPr>
        <w:spacing w:after="120"/>
        <w:ind w:left="426" w:hanging="426"/>
        <w:jc w:val="both"/>
        <w:rPr>
          <w:rFonts w:ascii="Times New Roman" w:hAnsi="Times New Roman" w:cs="Times New Roman"/>
        </w:rPr>
      </w:pPr>
      <w:r w:rsidRPr="002A32ED">
        <w:rPr>
          <w:rFonts w:ascii="Times New Roman" w:hAnsi="Times New Roman" w:cs="Times New Roman"/>
          <w:b/>
          <w:bCs/>
        </w:rPr>
        <w:t xml:space="preserve">Lepingu ese ja üldsätted </w:t>
      </w:r>
    </w:p>
    <w:p w:rsidR="00DE5D09" w:rsidRPr="002A32ED" w:rsidRDefault="00DE5D09" w:rsidP="00FE1D37">
      <w:pPr>
        <w:pStyle w:val="NormalWeb"/>
      </w:pPr>
      <w:r w:rsidRPr="002A32ED">
        <w:t xml:space="preserve">Kasutusse antav Vara on </w:t>
      </w:r>
      <w:r>
        <w:t>……..</w:t>
      </w:r>
      <w:r w:rsidRPr="002A32ED">
        <w:t xml:space="preserve"> maagaasil töötavat bussi </w:t>
      </w:r>
      <w:r w:rsidRPr="00FE1D37">
        <w:t>MAN Lions</w:t>
      </w:r>
      <w:r>
        <w:t xml:space="preserve"> </w:t>
      </w:r>
      <w:r w:rsidRPr="00FE1D37">
        <w:t>City BA21K109</w:t>
      </w:r>
      <w:r>
        <w:t xml:space="preserve"> </w:t>
      </w:r>
      <w:r w:rsidRPr="002A32ED">
        <w:t xml:space="preserve">vastavalt Lepingu lisale. </w:t>
      </w:r>
    </w:p>
    <w:p w:rsidR="00DE5D09" w:rsidRPr="002A32ED" w:rsidRDefault="00DE5D09" w:rsidP="00BD5132">
      <w:pPr>
        <w:pStyle w:val="Default"/>
        <w:numPr>
          <w:ilvl w:val="1"/>
          <w:numId w:val="3"/>
        </w:numPr>
        <w:spacing w:after="120"/>
        <w:ind w:left="426" w:hanging="426"/>
        <w:jc w:val="both"/>
        <w:rPr>
          <w:rFonts w:ascii="Times New Roman" w:hAnsi="Times New Roman" w:cs="Times New Roman"/>
        </w:rPr>
      </w:pPr>
      <w:r w:rsidRPr="002A32ED">
        <w:rPr>
          <w:rFonts w:ascii="Times New Roman" w:hAnsi="Times New Roman" w:cs="Times New Roman"/>
        </w:rPr>
        <w:t xml:space="preserve">Vara antakse kasutusse Kasutaja ja </w:t>
      </w:r>
      <w:r>
        <w:rPr>
          <w:rFonts w:ascii="Times New Roman" w:hAnsi="Times New Roman" w:cs="Times New Roman"/>
        </w:rPr>
        <w:t>Narva</w:t>
      </w:r>
      <w:r w:rsidRPr="002A32ED">
        <w:rPr>
          <w:rFonts w:ascii="Times New Roman" w:hAnsi="Times New Roman" w:cs="Times New Roman"/>
        </w:rPr>
        <w:t xml:space="preserve"> Linnavalitsuse vahel </w:t>
      </w:r>
      <w:r>
        <w:rPr>
          <w:rFonts w:ascii="Times New Roman" w:hAnsi="Times New Roman" w:cs="Times New Roman"/>
        </w:rPr>
        <w:t>……………</w:t>
      </w:r>
      <w:r w:rsidRPr="002A32ED">
        <w:rPr>
          <w:rFonts w:ascii="Times New Roman" w:hAnsi="Times New Roman" w:cs="Times New Roman"/>
        </w:rPr>
        <w:t xml:space="preserve"> sõlmitud avaliku teenindamise lepingu nr </w:t>
      </w:r>
      <w:r>
        <w:rPr>
          <w:rFonts w:ascii="Times New Roman" w:hAnsi="Times New Roman" w:cs="Times New Roman"/>
        </w:rPr>
        <w:t>…………..</w:t>
      </w:r>
      <w:r w:rsidRPr="002A32ED">
        <w:rPr>
          <w:rFonts w:ascii="Times New Roman" w:hAnsi="Times New Roman" w:cs="Times New Roman"/>
        </w:rPr>
        <w:t xml:space="preserve"> kehtivuse ajaks Ühistranspordiseaduse (edaspidi ÜTS) § 10 lõike 4 alusel ja arvestades riigivaraseaduse (edaspidi RVS) riigivara kasutusse andmise sätteid. </w:t>
      </w:r>
    </w:p>
    <w:p w:rsidR="00DE5D09" w:rsidRPr="002A32ED" w:rsidRDefault="00DE5D09" w:rsidP="00BD5132">
      <w:pPr>
        <w:pStyle w:val="Default"/>
        <w:numPr>
          <w:ilvl w:val="1"/>
          <w:numId w:val="3"/>
        </w:numPr>
        <w:spacing w:after="120"/>
        <w:ind w:left="426" w:hanging="426"/>
        <w:jc w:val="both"/>
        <w:rPr>
          <w:rFonts w:ascii="Times New Roman" w:hAnsi="Times New Roman" w:cs="Times New Roman"/>
        </w:rPr>
      </w:pPr>
      <w:r w:rsidRPr="002A32ED">
        <w:rPr>
          <w:rFonts w:ascii="Times New Roman" w:hAnsi="Times New Roman" w:cs="Times New Roman"/>
        </w:rPr>
        <w:t xml:space="preserve">Vara kasutamiseks andmise eesmärk on vastavalt RVS § 14 lg 1 punktile 3 avaliku teenusena osutatava sõitjate veo teostamine </w:t>
      </w:r>
      <w:r>
        <w:rPr>
          <w:rFonts w:ascii="Times New Roman" w:hAnsi="Times New Roman" w:cs="Times New Roman"/>
        </w:rPr>
        <w:t>Narva</w:t>
      </w:r>
      <w:r w:rsidRPr="002A32ED">
        <w:rPr>
          <w:rFonts w:ascii="Times New Roman" w:hAnsi="Times New Roman" w:cs="Times New Roman"/>
        </w:rPr>
        <w:t xml:space="preserve"> linna avalikel bussiliinidel vastavalt Kasutaja ja </w:t>
      </w:r>
      <w:r>
        <w:rPr>
          <w:rFonts w:ascii="Times New Roman" w:hAnsi="Times New Roman" w:cs="Times New Roman"/>
        </w:rPr>
        <w:t>Narva</w:t>
      </w:r>
      <w:r w:rsidRPr="002A32ED">
        <w:rPr>
          <w:rFonts w:ascii="Times New Roman" w:hAnsi="Times New Roman" w:cs="Times New Roman"/>
        </w:rPr>
        <w:t xml:space="preserve"> Linnavalitsuse vahel Euroopa parlamendi ja nõukogu määruse (EÜ) nr 1370/2007 artikkel 5 lõike 2 kohaselt sõlmitud avaliku teenindamise lepingus (edaspidi ATL) ja nende lisades sätestatule. </w:t>
      </w:r>
    </w:p>
    <w:p w:rsidR="00DE5D09" w:rsidRPr="002A32ED" w:rsidRDefault="00DE5D09" w:rsidP="00BD5132">
      <w:pPr>
        <w:pStyle w:val="Default"/>
        <w:numPr>
          <w:ilvl w:val="1"/>
          <w:numId w:val="3"/>
        </w:numPr>
        <w:spacing w:after="120"/>
        <w:ind w:left="426" w:hanging="426"/>
        <w:jc w:val="both"/>
        <w:rPr>
          <w:rFonts w:ascii="Times New Roman" w:hAnsi="Times New Roman" w:cs="Times New Roman"/>
        </w:rPr>
      </w:pPr>
      <w:r w:rsidRPr="002A32ED">
        <w:rPr>
          <w:rFonts w:ascii="Times New Roman" w:hAnsi="Times New Roman" w:cs="Times New Roman"/>
        </w:rPr>
        <w:t xml:space="preserve">Juhindudes RVS § 18 lg 2 punktist 3 ja lõikest 3 antakse Vara kasutusse harilikust väärtusest madalama tasu eest ja Kasutaja on kohustatud tasuma kõik kulud, mis </w:t>
      </w:r>
      <w:r w:rsidRPr="002A32ED">
        <w:rPr>
          <w:rFonts w:ascii="Times New Roman" w:hAnsi="Times New Roman" w:cs="Times New Roman"/>
        </w:rPr>
        <w:lastRenderedPageBreak/>
        <w:t xml:space="preserve">tulenevad käesolevas Lepingus sätestatud Vara käitamisest, hooldamisest, korrashoiust, remondist, kindlustamisest ja muudest Vara säilimiseks tehtavatest toimingutest. Kasutaja ei maksa Kasutusse andjale Vara kasutamise eest kasutustasu. </w:t>
      </w:r>
    </w:p>
    <w:p w:rsidR="00DE5D09" w:rsidRPr="002A32ED" w:rsidRDefault="00DE5D09" w:rsidP="00BD5132">
      <w:pPr>
        <w:pStyle w:val="Default"/>
        <w:numPr>
          <w:ilvl w:val="0"/>
          <w:numId w:val="3"/>
        </w:numPr>
        <w:spacing w:after="120"/>
        <w:ind w:left="426" w:hanging="426"/>
        <w:jc w:val="both"/>
        <w:rPr>
          <w:rFonts w:ascii="Times New Roman" w:hAnsi="Times New Roman" w:cs="Times New Roman"/>
          <w:b/>
        </w:rPr>
      </w:pPr>
      <w:r w:rsidRPr="002A32ED">
        <w:rPr>
          <w:rFonts w:ascii="Times New Roman" w:hAnsi="Times New Roman" w:cs="Times New Roman"/>
          <w:b/>
          <w:bCs/>
        </w:rPr>
        <w:t xml:space="preserve">Vara üleandmine </w:t>
      </w:r>
    </w:p>
    <w:p w:rsidR="00DE5D09" w:rsidRPr="002A32ED" w:rsidRDefault="00DE5D09" w:rsidP="00BD5132">
      <w:pPr>
        <w:pStyle w:val="Default"/>
        <w:numPr>
          <w:ilvl w:val="0"/>
          <w:numId w:val="5"/>
        </w:numPr>
        <w:spacing w:after="120"/>
        <w:ind w:left="426" w:hanging="426"/>
        <w:jc w:val="both"/>
        <w:rPr>
          <w:rFonts w:ascii="Times New Roman" w:hAnsi="Times New Roman" w:cs="Times New Roman"/>
        </w:rPr>
      </w:pPr>
      <w:r w:rsidRPr="002A32ED">
        <w:rPr>
          <w:rFonts w:ascii="Times New Roman" w:hAnsi="Times New Roman" w:cs="Times New Roman"/>
        </w:rPr>
        <w:t xml:space="preserve">Kasutusse andja annab Vara Kasutajale üle </w:t>
      </w:r>
      <w:r>
        <w:rPr>
          <w:rFonts w:ascii="Times New Roman" w:hAnsi="Times New Roman" w:cs="Times New Roman"/>
        </w:rPr>
        <w:t>Narva</w:t>
      </w:r>
      <w:r w:rsidRPr="002A32ED">
        <w:rPr>
          <w:rFonts w:ascii="Times New Roman" w:hAnsi="Times New Roman" w:cs="Times New Roman"/>
        </w:rPr>
        <w:t xml:space="preserve"> linnas. Vara üleandmisel vormistatakse Lisas 1 toodud vormil üleandmis-vastuvõtmisakt (edaspidi Akt), mis allkirjastatakse Kasutusse andja ja Kasutaja esindajate poolt. Aktis fikseeritakse vara komplektsus, laitmatu funktsioneerimine, kasutamise eesmärk ja dokumentatsioon, mis Kasutajale üle antakse. Aktis fikseeritakse ka vastuvõtmisel ilmnenud Varal esinevad puudused ja Kasutusse andja poolt nende puuduste </w:t>
      </w:r>
      <w:r w:rsidRPr="002A32ED">
        <w:rPr>
          <w:rFonts w:ascii="Times New Roman" w:hAnsi="Times New Roman" w:cs="Times New Roman"/>
          <w:color w:val="auto"/>
        </w:rPr>
        <w:t>likvideerimise tähtaeg. Kasutusse andja poolt allkirjastab Akti punktis 1</w:t>
      </w:r>
      <w:r>
        <w:rPr>
          <w:rFonts w:ascii="Times New Roman" w:hAnsi="Times New Roman" w:cs="Times New Roman"/>
          <w:color w:val="auto"/>
        </w:rPr>
        <w:t>4</w:t>
      </w:r>
      <w:r w:rsidRPr="002A32ED">
        <w:rPr>
          <w:rFonts w:ascii="Times New Roman" w:hAnsi="Times New Roman" w:cs="Times New Roman"/>
          <w:color w:val="auto"/>
        </w:rPr>
        <w:t xml:space="preserve">.1 nimetatud volitatud esindaja. </w:t>
      </w:r>
    </w:p>
    <w:p w:rsidR="00DE5D09" w:rsidRPr="002A32ED" w:rsidRDefault="00DE5D09" w:rsidP="00BD5132">
      <w:pPr>
        <w:pStyle w:val="Default"/>
        <w:numPr>
          <w:ilvl w:val="0"/>
          <w:numId w:val="5"/>
        </w:numPr>
        <w:spacing w:after="120"/>
        <w:ind w:left="426" w:hanging="426"/>
        <w:jc w:val="both"/>
        <w:rPr>
          <w:rFonts w:ascii="Times New Roman" w:hAnsi="Times New Roman" w:cs="Times New Roman"/>
        </w:rPr>
      </w:pPr>
      <w:r w:rsidRPr="002A32ED">
        <w:rPr>
          <w:rFonts w:ascii="Times New Roman" w:hAnsi="Times New Roman" w:cs="Times New Roman"/>
          <w:color w:val="auto"/>
        </w:rPr>
        <w:t>Vara ja selle juurde kuuluva dokumentatsiooni vastuvõtmisel Kasutusse andjalt on Kasutaja õigustatud ja kohustatud tutvuma Kasutusse andja poolt Varaga kaasa antava dokumentatsiooni täielikkuse ja kehtivusega ning kontrollima Vara tehnilist seisukorda.</w:t>
      </w:r>
    </w:p>
    <w:p w:rsidR="00DE5D09" w:rsidRPr="002A32ED" w:rsidRDefault="00DE5D09" w:rsidP="00BD5132">
      <w:pPr>
        <w:pStyle w:val="Default"/>
        <w:numPr>
          <w:ilvl w:val="0"/>
          <w:numId w:val="5"/>
        </w:numPr>
        <w:spacing w:after="120"/>
        <w:ind w:left="426" w:hanging="426"/>
        <w:jc w:val="both"/>
        <w:rPr>
          <w:rFonts w:ascii="Times New Roman" w:hAnsi="Times New Roman" w:cs="Times New Roman"/>
        </w:rPr>
      </w:pPr>
      <w:r w:rsidRPr="002A32ED">
        <w:rPr>
          <w:rFonts w:ascii="Times New Roman" w:hAnsi="Times New Roman" w:cs="Times New Roman"/>
          <w:color w:val="auto"/>
        </w:rPr>
        <w:t xml:space="preserve">Kasutusse andja registreerib Vara liiklusregistris ja kohustub märkima sõiduki registreerimistunnistusele Kasutaja sõiduki vastutavaks kasutajaks ning kannab sellega seonduvad kulud. Kõik Vara vastuvõtmisega seotud muud kulud, sealhulgas ka Vara transpordi Kasutusse andja juurest Kasutaja asukohta ja tagasi ning ajutise liiklus- ja kaskokindlustuse kulud kannab Kasutaja. </w:t>
      </w:r>
    </w:p>
    <w:p w:rsidR="00DE5D09" w:rsidRPr="002A32ED" w:rsidRDefault="00DE5D09" w:rsidP="00BD5132">
      <w:pPr>
        <w:pStyle w:val="Default"/>
        <w:numPr>
          <w:ilvl w:val="0"/>
          <w:numId w:val="5"/>
        </w:numPr>
        <w:spacing w:after="120"/>
        <w:ind w:left="426" w:hanging="426"/>
        <w:jc w:val="both"/>
        <w:rPr>
          <w:rFonts w:ascii="Times New Roman" w:hAnsi="Times New Roman" w:cs="Times New Roman"/>
        </w:rPr>
      </w:pPr>
      <w:r w:rsidRPr="002A32ED">
        <w:rPr>
          <w:rFonts w:ascii="Times New Roman" w:hAnsi="Times New Roman" w:cs="Times New Roman"/>
          <w:color w:val="auto"/>
        </w:rPr>
        <w:t xml:space="preserve">Kui Kasutaja keeldub Kasutusse andjalt Vara vastu võtmast Vara normaalset ekspluateerimist takistavate puuduste olemasolu tõttu, on Kasutaja kohustatud viivitamatult teatama sellest Kasutusse andjale, selgitades ilmnenud puudusi ja nendest tulenevat Vara kasutamise võimatust. </w:t>
      </w:r>
    </w:p>
    <w:p w:rsidR="00DE5D09" w:rsidRPr="002A32ED" w:rsidRDefault="00DE5D09" w:rsidP="00BD5132">
      <w:pPr>
        <w:pStyle w:val="Default"/>
        <w:numPr>
          <w:ilvl w:val="0"/>
          <w:numId w:val="5"/>
        </w:numPr>
        <w:spacing w:after="120"/>
        <w:ind w:left="426" w:hanging="426"/>
        <w:jc w:val="both"/>
        <w:rPr>
          <w:rFonts w:ascii="Times New Roman" w:hAnsi="Times New Roman" w:cs="Times New Roman"/>
        </w:rPr>
      </w:pPr>
      <w:r w:rsidRPr="002A32ED">
        <w:rPr>
          <w:rFonts w:ascii="Times New Roman" w:hAnsi="Times New Roman" w:cs="Times New Roman"/>
          <w:color w:val="auto"/>
        </w:rPr>
        <w:t>Punktis 3.4 sätestatud puuduste ilmnemisel on Kasutaja õigustatud tegema Kasutusse andjale ettepaneku korraldada sõltumatu ekspertiis Vara tehnilise seisundi kindlakstegemiseks. Kasutusse andja hindab Kasutaja ettepaneku põhjendatust ja tellib ekspertiisi või keeldub põhjendatult selle tellimisest.</w:t>
      </w:r>
    </w:p>
    <w:p w:rsidR="00DE5D09" w:rsidRPr="002A32ED" w:rsidRDefault="00DE5D09" w:rsidP="00BD5132">
      <w:pPr>
        <w:pStyle w:val="Default"/>
        <w:numPr>
          <w:ilvl w:val="0"/>
          <w:numId w:val="5"/>
        </w:numPr>
        <w:spacing w:after="120"/>
        <w:ind w:left="426" w:hanging="426"/>
        <w:jc w:val="both"/>
        <w:rPr>
          <w:rFonts w:ascii="Times New Roman" w:hAnsi="Times New Roman" w:cs="Times New Roman"/>
        </w:rPr>
      </w:pPr>
      <w:r w:rsidRPr="002A32ED">
        <w:rPr>
          <w:rFonts w:ascii="Times New Roman" w:hAnsi="Times New Roman" w:cs="Times New Roman"/>
          <w:color w:val="auto"/>
        </w:rPr>
        <w:t xml:space="preserve">Vara Kasutusse andjalt vastuvõtmise hetkest läheb Kasutajale üle Vara valdus, juhusliku hävimise riisiko ja suurema ohu allika valdaja vastutus. </w:t>
      </w:r>
    </w:p>
    <w:p w:rsidR="00DE5D09" w:rsidRPr="002A32ED" w:rsidRDefault="00DE5D09" w:rsidP="00BD5132">
      <w:pPr>
        <w:pStyle w:val="Default"/>
        <w:numPr>
          <w:ilvl w:val="0"/>
          <w:numId w:val="5"/>
        </w:numPr>
        <w:spacing w:after="120"/>
        <w:ind w:left="426" w:hanging="426"/>
        <w:jc w:val="both"/>
        <w:rPr>
          <w:rFonts w:ascii="Times New Roman" w:hAnsi="Times New Roman" w:cs="Times New Roman"/>
        </w:rPr>
      </w:pPr>
      <w:r w:rsidRPr="002A32ED">
        <w:rPr>
          <w:rFonts w:ascii="Times New Roman" w:hAnsi="Times New Roman" w:cs="Times New Roman"/>
          <w:color w:val="auto"/>
        </w:rPr>
        <w:t xml:space="preserve">Vara vastuvõtmise hetkest vastutab Kasutaja Kasutusse andja ees kõigi Varaga seonduvate ilmsete ja varjatud puuduste eest, samuti nimetatud puudustest tulenevate nõuete ja kahjude eest, kui need ei kuulu Vara garantiieeskirjade alusel kõrvaldamisele või hüvitamisele Vara tootja või tema määratud volitatud esindaja poolt. </w:t>
      </w:r>
    </w:p>
    <w:p w:rsidR="00DE5D09" w:rsidRPr="002A32ED" w:rsidRDefault="00DE5D09" w:rsidP="00BD5132">
      <w:pPr>
        <w:pStyle w:val="Default"/>
        <w:numPr>
          <w:ilvl w:val="0"/>
          <w:numId w:val="9"/>
        </w:numPr>
        <w:spacing w:after="120"/>
        <w:ind w:left="426" w:hanging="426"/>
        <w:jc w:val="both"/>
        <w:rPr>
          <w:rFonts w:ascii="Times New Roman" w:hAnsi="Times New Roman" w:cs="Times New Roman"/>
          <w:color w:val="auto"/>
        </w:rPr>
      </w:pPr>
      <w:r w:rsidRPr="002A32ED">
        <w:rPr>
          <w:rFonts w:ascii="Times New Roman" w:hAnsi="Times New Roman" w:cs="Times New Roman"/>
          <w:b/>
          <w:bCs/>
          <w:color w:val="auto"/>
        </w:rPr>
        <w:t xml:space="preserve">Kasutaja õigused ja kohustused </w:t>
      </w:r>
    </w:p>
    <w:p w:rsidR="00DE5D09" w:rsidRPr="002A32ED" w:rsidRDefault="00DE5D09" w:rsidP="00BD5132">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Kasutaja kohustub kasutama Vara eesmärgipäraselt, sihtotstarbeliselt, säästlikult ja heaperemehelikult kooskõlas Vara tehnilises dokumentatsioonis ettenähtud otstarbega ning hoolikalt järgima muid Vara tootja poolsetest tehnilise hooldus- ja kasutusjuhenditest tulenevaid nõudeid. </w:t>
      </w:r>
    </w:p>
    <w:p w:rsidR="00DE5D09" w:rsidRPr="002A32ED" w:rsidRDefault="00DE5D09" w:rsidP="00BD5132">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Kasutaja on kohustatud Vara üldgarantiiperioodil garantii- ja/või tehnilises dokumentatsioonis ettenähtud tähtajal pöörduma Vara korrashoiu- ja hooldustööde teostamiseks Vara valmistajatehase või Kasutusse andja poolt määratud hooldusteenuste keskusesse välja arvatud nende korrashoiu- ja hooldustööde puhul, mida Vara valmistajatehase esindaja on lubanud Kasutajal ise teostada, ilma et see kahjustaks Vara garantiid (hooldusteenuste keskuste loetelu ja Kasutaja poolt teostatavate korrashoiu- ja </w:t>
      </w:r>
      <w:r w:rsidRPr="002A32ED">
        <w:rPr>
          <w:rFonts w:ascii="Times New Roman" w:hAnsi="Times New Roman" w:cs="Times New Roman"/>
          <w:color w:val="auto"/>
        </w:rPr>
        <w:lastRenderedPageBreak/>
        <w:t xml:space="preserve">hooldustööde loetelu ja tingimused on toodud Lepingu lisas nr 2. Kasutaja on kohustatud tagama Vara tähtaegse tehnoülevaatuse ja -hoolduse kogu Lepingu kehtivusaja vältel. </w:t>
      </w:r>
    </w:p>
    <w:p w:rsidR="00DE5D09" w:rsidRPr="002A32ED" w:rsidRDefault="00DE5D09" w:rsidP="00BD5132">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Kasutaja on kohustatud teostama Vara tehnilise seisukorra säilitamiseks või tehniliste rikete kõrvaldamiseks teostatavad remonttööd Vara valmistajatehase või Kasutusse andja poolt määratud hooldeasutuses. Remont- ja hooldustööde teostamine muus hooldeasutuses või Kasutaja poolt on iseseisvalt lubatud Kasutusse andja vastavasisulise nõusoleku korral ning tingimusel, et selliselt läbiviidud hooldus või remontööd ei muuda kehtetuks tootja poolt Varale antud üldgarantii kehtivust või ei kahjusta vara muul moel. Vara üldgarantii kehtib vastavalt Lepingu lisas 2 toodule.</w:t>
      </w:r>
    </w:p>
    <w:p w:rsidR="00DE5D09" w:rsidRPr="002A32ED" w:rsidRDefault="00DE5D09" w:rsidP="00BD5132">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Kasutaja on kohustatud hoidma Vara korras, tähtaegselt ja kohaselt tasuma iseseisvalt kõik Vara valduse, kasutuse ning säilitamisega seotud kulud, sealhulgas riiklikud ja kohalikud maksud, kindlustusmaksed, ning Vara kasutamise käigus põhjustatud seaduserikkumiste korral trahvid ja nõuded. </w:t>
      </w:r>
    </w:p>
    <w:p w:rsidR="00DE5D09" w:rsidRPr="002A32ED" w:rsidRDefault="00DE5D09" w:rsidP="00BD5132">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Kasutaja on samuti kohustatud Lepingu tähtaja vältel säilitama ja hoidma korras Varaga seotud tehnilise- ja garantiidokumentatsiooni vastavalt Lisas 1 loetletule. Nimetatud dokumentide kaotsiminekul või kahjustumisel, olenemata Kasutaja süüst, peab Kasutaja koheselt tarvitusele võtma meetmed dokumentide taastamiseks või Kasutusse andjalt vastavasisuliste ning garantiikohustuste suhtes siduvate dublikaatide saamiseks. Dublikaatide hankimisega seonduvad kulud kannab Kasutaja. </w:t>
      </w:r>
    </w:p>
    <w:p w:rsidR="00DE5D09" w:rsidRPr="002A32ED" w:rsidRDefault="00DE5D09" w:rsidP="00BD5132">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Kasutajal ei ole õigust Vara parendada ilma Kasutusse andja eelneva kirjaliku nõusolekuta. Kooskõ1astuskohustus ei kehti Kasutaja poolt teostatavate parenduste osas, mis säilitavad Vara või kaitsevad Vara täieliku või osalise hävimise eest, samuti parenduste osas, mis hõlbustavad Vara ekspluateerimist, ei kahjusta Vara tehnilist seisundit ja on Lepingu lõppemisel või ennetähtaegsel lõpetamisel Vara kahjustamata eemaldatavad. </w:t>
      </w:r>
    </w:p>
    <w:p w:rsidR="00DE5D09" w:rsidRPr="002A32ED" w:rsidRDefault="00DE5D09" w:rsidP="00BD5132">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Kasutaja kohustub andma Kasutusse andjale viimase nõudmisel tõest ja täielikku informatsiooni Vara tehnilise seisukorra ning säilitamiseks teostatud remont- ja hooldustööde teostamise kohta. </w:t>
      </w:r>
    </w:p>
    <w:p w:rsidR="00DE5D09" w:rsidRPr="002A32ED" w:rsidRDefault="00DE5D09" w:rsidP="00BD5132">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Vara kasutamisega seotud keskkonnamõjude hindamiseks kohustub Kasutaja pidama arvestust kasutusse antud Vara läbisõidu ja kütusekulu osas ning esitama Kasutusse andjale vastavad andmed mitte harvem kui ükskord poole aasta jooksul poolaasta järgneva kalendrikuu jooksul vastavalt Lepingu lisas 3 toodud vormil. </w:t>
      </w:r>
    </w:p>
    <w:p w:rsidR="00DE5D09" w:rsidRPr="002A32ED" w:rsidRDefault="00DE5D09" w:rsidP="00403CA0">
      <w:pPr>
        <w:pStyle w:val="Default"/>
        <w:numPr>
          <w:ilvl w:val="1"/>
          <w:numId w:val="9"/>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Kasutajal on lubatud Vara kasutada üksnes </w:t>
      </w:r>
      <w:r>
        <w:rPr>
          <w:rFonts w:ascii="Times New Roman" w:hAnsi="Times New Roman" w:cs="Times New Roman"/>
          <w:color w:val="auto"/>
        </w:rPr>
        <w:t>Narva</w:t>
      </w:r>
      <w:r w:rsidRPr="002A32ED">
        <w:rPr>
          <w:rFonts w:ascii="Times New Roman" w:hAnsi="Times New Roman" w:cs="Times New Roman"/>
          <w:color w:val="auto"/>
        </w:rPr>
        <w:t xml:space="preserve"> Linnavalitsuse ja Kasutaja vahel sõlmitud ATL-s ja nende lisades sätestatud liinide teenindamiseks. Samuti ei ole Kasutajal õigust anda Vara või selle osa allrendile või mistahes muul alusel kolmandate isikute allkasutusse või kasutada Vara väljaspool Eesti Vabariigi territooriumi. </w:t>
      </w:r>
    </w:p>
    <w:p w:rsidR="00DE5D09" w:rsidRPr="002A32ED" w:rsidRDefault="00DE5D09" w:rsidP="00683ACE">
      <w:pPr>
        <w:pStyle w:val="Default"/>
        <w:numPr>
          <w:ilvl w:val="1"/>
          <w:numId w:val="9"/>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Kasutaja kohustub hoiduma igasugusest tegevusest, mis vastavalt sõlmitud Vara kindlustuslepingule võiks põhjustada Kindlustusandja ja Kasutaja kui kindlustusvõtja vahelise kindlustussuhte lõpetamise, kindlustusmaksete suurendamise, kindlustushüvitise mittemaksmise või kindlustustingimuste ühepoolse muutmise Kindlustusandja poolt.</w:t>
      </w:r>
    </w:p>
    <w:p w:rsidR="00DE5D09" w:rsidRPr="002A32ED" w:rsidRDefault="00DE5D09" w:rsidP="00403CA0">
      <w:pPr>
        <w:pStyle w:val="Default"/>
        <w:numPr>
          <w:ilvl w:val="1"/>
          <w:numId w:val="9"/>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Kasutajal on lubatud paigaldada kasutusse antavale Varale reklaami üksnes Kasutusse andja sellesisulise kirjaliku nõusoleku korral.</w:t>
      </w:r>
    </w:p>
    <w:p w:rsidR="00DE5D09" w:rsidRPr="002A32ED" w:rsidRDefault="00DE5D09" w:rsidP="00403CA0">
      <w:pPr>
        <w:pStyle w:val="Default"/>
        <w:numPr>
          <w:ilvl w:val="1"/>
          <w:numId w:val="9"/>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Kasutajal ei ole õigust kasutamise ajal Vara käsutada, sealhulgas seda pantida, rentida või koormata mistahes õigustega. Kõik Kasutaja poolt kuni Lepingu lõppemiseni Kolmandate isikutega sõlmitavad lepingud ja kokkulepped, mis seisnevad Vara </w:t>
      </w:r>
      <w:r w:rsidRPr="002A32ED">
        <w:rPr>
          <w:rFonts w:ascii="Times New Roman" w:hAnsi="Times New Roman" w:cs="Times New Roman"/>
          <w:color w:val="auto"/>
        </w:rPr>
        <w:lastRenderedPageBreak/>
        <w:t>käsutamises ilma Kasutusse andja kirjaliku nõusolekuta, on vastuolus käesoleva Lepinguga ning Kasutaja kohustub hüvitama kõik sellega Kasutusse andjale kaasnevad kahjud.</w:t>
      </w:r>
    </w:p>
    <w:p w:rsidR="00DE5D09" w:rsidRPr="00E07195" w:rsidRDefault="00DE5D09" w:rsidP="00403CA0">
      <w:pPr>
        <w:pStyle w:val="Default"/>
        <w:numPr>
          <w:ilvl w:val="1"/>
          <w:numId w:val="9"/>
        </w:numPr>
        <w:spacing w:after="120"/>
        <w:ind w:left="567" w:hanging="567"/>
        <w:jc w:val="both"/>
        <w:rPr>
          <w:rFonts w:ascii="Times New Roman" w:hAnsi="Times New Roman" w:cs="Times New Roman"/>
          <w:color w:val="auto"/>
          <w:u w:val="single"/>
        </w:rPr>
      </w:pPr>
      <w:r w:rsidRPr="00E07195">
        <w:rPr>
          <w:rFonts w:ascii="Times New Roman" w:hAnsi="Times New Roman" w:cs="Times New Roman"/>
          <w:color w:val="auto"/>
          <w:u w:val="single"/>
        </w:rPr>
        <w:t xml:space="preserve">Kasutajal on Vara kindlustuskohustus: </w:t>
      </w:r>
    </w:p>
    <w:p w:rsidR="00DE5D09" w:rsidRPr="002A32ED" w:rsidRDefault="00DE5D09" w:rsidP="00403CA0">
      <w:pPr>
        <w:pStyle w:val="Default"/>
        <w:numPr>
          <w:ilvl w:val="2"/>
          <w:numId w:val="9"/>
        </w:numPr>
        <w:spacing w:after="120"/>
        <w:ind w:left="709" w:hanging="709"/>
        <w:jc w:val="both"/>
        <w:rPr>
          <w:rFonts w:ascii="Times New Roman" w:hAnsi="Times New Roman" w:cs="Times New Roman"/>
          <w:color w:val="auto"/>
        </w:rPr>
      </w:pPr>
      <w:r w:rsidRPr="002A32ED">
        <w:rPr>
          <w:rFonts w:ascii="Times New Roman" w:hAnsi="Times New Roman" w:cs="Times New Roman"/>
          <w:color w:val="auto"/>
        </w:rPr>
        <w:t xml:space="preserve">Kasutaja on kohustatud omal kulul koheselt, kuid mitte hiljem, kui kolme (3) tööpäeva jooksul pärast Vara oma valdusse saamist sõlmima Kasutusse andja poolt aktsepteeritavas kindlustusettevõttes Vara vabatahtliku ja kohustusliku kindlustuslepingu, kus kindlustusvõtjaks määratakse Kasutaja ja soodustatud isikuks ehk hüvitise saajaks Kasutusse andja ning tagama Varal katkematu kindlustuskaitse olemasolu ja kindlustuslepingute nõuetekohase täitmise kindlustuslepingu ja käesolevas Lepingus ettenähtud tingimustel kuni Vara kasutamise tähtaja, so Lepingu kehtivuse lõpuni. Kasutusse andja poolt aktsepteeritud kindlustusettevõtted peavad omama Eestis kindlustusandjana tegutsemise õigust vastavalt kindlustustegevuse seaduse sätetele ja kindlustama vara vastavalt Lepingus sätestatule. Kindlustusettevõtted, kellel on Eestis kindlustusandjana tegutsemise õigus, on ära toodud Finantsinspektsiooni veebilehel </w:t>
      </w:r>
      <w:hyperlink r:id="rId8" w:history="1">
        <w:r w:rsidRPr="002A32ED">
          <w:rPr>
            <w:rStyle w:val="Hyperlink"/>
            <w:rFonts w:ascii="Times New Roman" w:hAnsi="Times New Roman"/>
          </w:rPr>
          <w:t>http://www.fi.ee/index.php?id=11674</w:t>
        </w:r>
      </w:hyperlink>
      <w:r w:rsidRPr="002A32ED">
        <w:rPr>
          <w:rFonts w:ascii="Times New Roman" w:hAnsi="Times New Roman" w:cs="Times New Roman"/>
          <w:color w:val="auto"/>
        </w:rPr>
        <w:t xml:space="preserve">  </w:t>
      </w:r>
    </w:p>
    <w:p w:rsidR="00DE5D09" w:rsidRPr="002A32ED" w:rsidRDefault="00DE5D09" w:rsidP="00403CA0">
      <w:pPr>
        <w:pStyle w:val="Default"/>
        <w:numPr>
          <w:ilvl w:val="2"/>
          <w:numId w:val="9"/>
        </w:numPr>
        <w:spacing w:after="120"/>
        <w:ind w:left="709" w:hanging="709"/>
        <w:jc w:val="both"/>
        <w:rPr>
          <w:rFonts w:ascii="Times New Roman" w:hAnsi="Times New Roman" w:cs="Times New Roman"/>
          <w:color w:val="auto"/>
        </w:rPr>
      </w:pPr>
      <w:r w:rsidRPr="002A32ED">
        <w:rPr>
          <w:rFonts w:ascii="Times New Roman" w:hAnsi="Times New Roman" w:cs="Times New Roman"/>
          <w:color w:val="auto"/>
        </w:rPr>
        <w:t xml:space="preserve">Kasutaja kindlustab Vara selle turuväärtuse ulatuses vähemalt järgmiste riskide vastu: liiklusõnnetus, tulekahju, loodusõnnetus, vargus, röövimine ja kahjustamine. Kasutaja omavastutus ei või olla suurem kui 10 000 € kindlustusjuhtumi kohta ning omavastutust ei rakendata juhul kui kindlustusjuhtumi tagajärjel hävib üksnes Vara esiklaas. Vara turuväärtus uuena on toodud Lisas 1. Iga järgneva aasta Vara turuväärtuse määrab Kasutaja konsulteerides Vara müüja  AS-ga Reola Gaas ja kooskõlastades Kasutusse andjaga. </w:t>
      </w:r>
    </w:p>
    <w:p w:rsidR="00DE5D09" w:rsidRPr="002A32ED" w:rsidRDefault="00DE5D09" w:rsidP="00403CA0">
      <w:pPr>
        <w:pStyle w:val="Default"/>
        <w:numPr>
          <w:ilvl w:val="2"/>
          <w:numId w:val="9"/>
        </w:numPr>
        <w:spacing w:after="120"/>
        <w:ind w:left="709" w:hanging="709"/>
        <w:jc w:val="both"/>
        <w:rPr>
          <w:rFonts w:ascii="Times New Roman" w:hAnsi="Times New Roman" w:cs="Times New Roman"/>
          <w:color w:val="auto"/>
        </w:rPr>
      </w:pPr>
      <w:r w:rsidRPr="002A32ED">
        <w:rPr>
          <w:rFonts w:ascii="Times New Roman" w:hAnsi="Times New Roman" w:cs="Times New Roman"/>
          <w:color w:val="auto"/>
        </w:rPr>
        <w:t xml:space="preserve">Kasutaja kindlustab Vara selle tootja poolt komplekteeritud standardvarustuses. Mittekomplekteeritud lisaseadmed ja kindlustusandja poolt nimetatud lisa- ja erivarustus näidatakse kindlustuslepingus koos nende turuväärtusega eraldi. Kasutaja kasutab Vara garažeerimiseks valvega kohta. </w:t>
      </w:r>
    </w:p>
    <w:p w:rsidR="00DE5D09" w:rsidRPr="002A32ED" w:rsidRDefault="00DE5D09" w:rsidP="00403CA0">
      <w:pPr>
        <w:pStyle w:val="Default"/>
        <w:numPr>
          <w:ilvl w:val="2"/>
          <w:numId w:val="9"/>
        </w:numPr>
        <w:spacing w:after="120"/>
        <w:ind w:left="709" w:hanging="709"/>
        <w:jc w:val="both"/>
        <w:rPr>
          <w:rFonts w:ascii="Times New Roman" w:hAnsi="Times New Roman" w:cs="Times New Roman"/>
          <w:color w:val="auto"/>
        </w:rPr>
      </w:pPr>
      <w:r w:rsidRPr="002A32ED">
        <w:rPr>
          <w:rFonts w:ascii="Times New Roman" w:hAnsi="Times New Roman" w:cs="Times New Roman"/>
          <w:color w:val="auto"/>
        </w:rPr>
        <w:t xml:space="preserve">Vabatahtliku kindlustuslepingu sõlmimisel on Kasutaja kohustatud Vara kindlustusandja nõudel nende poolt määratud tähtajal ning kohas ülevaatuseks ette näitama. Kasutaja peab esitama kindlustusandjale tõesed andmed Varaga seotud oluliste asjaolude kohta ning teatama võimalikest kindlustusriski suurendavatest asjaoludest. </w:t>
      </w:r>
    </w:p>
    <w:p w:rsidR="00DE5D09" w:rsidRPr="002A32ED" w:rsidRDefault="00DE5D09" w:rsidP="00403CA0">
      <w:pPr>
        <w:pStyle w:val="Default"/>
        <w:numPr>
          <w:ilvl w:val="2"/>
          <w:numId w:val="9"/>
        </w:numPr>
        <w:spacing w:after="120"/>
        <w:ind w:left="709" w:hanging="709"/>
        <w:jc w:val="both"/>
        <w:rPr>
          <w:rFonts w:ascii="Times New Roman" w:hAnsi="Times New Roman" w:cs="Times New Roman"/>
          <w:color w:val="auto"/>
        </w:rPr>
      </w:pPr>
      <w:r w:rsidRPr="002A32ED">
        <w:rPr>
          <w:rFonts w:ascii="Times New Roman" w:hAnsi="Times New Roman" w:cs="Times New Roman"/>
          <w:color w:val="auto"/>
        </w:rPr>
        <w:t xml:space="preserve">Kasutaja on kohustatud mitte hiljem kui viie (5) tööpäeva jooksul arvates Vara oma valdusse saamise päevast esitama Kasutusse andjale vastavalt käesolevas Lepingus sätestatud tingimustele sõlmitud ja kehtivate kindlustuslepingute lihtkoopiad. </w:t>
      </w:r>
    </w:p>
    <w:p w:rsidR="00DE5D09" w:rsidRPr="002A32ED" w:rsidRDefault="00DE5D09" w:rsidP="00812F27">
      <w:pPr>
        <w:pStyle w:val="Default"/>
        <w:numPr>
          <w:ilvl w:val="2"/>
          <w:numId w:val="9"/>
        </w:numPr>
        <w:spacing w:after="120"/>
        <w:ind w:left="709" w:hanging="709"/>
        <w:jc w:val="both"/>
        <w:rPr>
          <w:rFonts w:ascii="Times New Roman" w:hAnsi="Times New Roman" w:cs="Times New Roman"/>
          <w:color w:val="auto"/>
        </w:rPr>
      </w:pPr>
      <w:r w:rsidRPr="002A32ED">
        <w:rPr>
          <w:rFonts w:ascii="Times New Roman" w:hAnsi="Times New Roman" w:cs="Times New Roman"/>
          <w:color w:val="auto"/>
        </w:rPr>
        <w:t xml:space="preserve">Kasutaja kohustub vabatahtlikku kindlustuslepingut kuni Lepingu tähtaja lõpuni õigeaegselt uuendama (uuendatud kindlustusleping peab jõustuma eelmise kindlustuslepingu tähtaja viimasele päevale järgneval päeval) ning esitama uuendatud kindlustuspoliisi lihtkoopia Kasutusse andjale hiljemalt viie (5) tööpäeva jooksul kindlustuslepingu uuendamisest. </w:t>
      </w:r>
    </w:p>
    <w:p w:rsidR="00DE5D09" w:rsidRPr="002A32ED" w:rsidRDefault="00DE5D09" w:rsidP="00C65A6E">
      <w:pPr>
        <w:pStyle w:val="Default"/>
        <w:numPr>
          <w:ilvl w:val="2"/>
          <w:numId w:val="9"/>
        </w:numPr>
        <w:spacing w:after="120"/>
        <w:ind w:left="709" w:hanging="709"/>
        <w:jc w:val="both"/>
        <w:rPr>
          <w:rFonts w:ascii="Times New Roman" w:hAnsi="Times New Roman" w:cs="Times New Roman"/>
          <w:color w:val="auto"/>
        </w:rPr>
      </w:pPr>
      <w:r w:rsidRPr="002A32ED">
        <w:rPr>
          <w:rFonts w:ascii="Times New Roman" w:hAnsi="Times New Roman" w:cs="Times New Roman"/>
          <w:color w:val="auto"/>
        </w:rPr>
        <w:t>Juhul, kui Kasutaja ei esita Kasutusse andjale kehtivat Vara</w:t>
      </w:r>
      <w:r w:rsidRPr="002A32ED">
        <w:rPr>
          <w:rFonts w:ascii="Times New Roman" w:hAnsi="Times New Roman" w:cs="Times New Roman"/>
          <w:color w:val="auto"/>
          <w:sz w:val="22"/>
          <w:szCs w:val="22"/>
        </w:rPr>
        <w:t xml:space="preserve"> </w:t>
      </w:r>
      <w:r w:rsidRPr="002A32ED">
        <w:rPr>
          <w:rFonts w:ascii="Times New Roman" w:hAnsi="Times New Roman" w:cs="Times New Roman"/>
          <w:color w:val="auto"/>
        </w:rPr>
        <w:t xml:space="preserve">vabatahtliku kindlustuslepingu poliisi hiljemalt viie (5) tööpäeva jooksul arvates Vara oma valdusse saamise päevast või kindlustuslepingu uuendamise päevast, on Kasutusse andjal õigus ja Kasutaja poolne volitus kindlustada Vara Kasutaja kulul Kasutusse andja poolt valitud kindlustusseltsis ja tingimustel. </w:t>
      </w:r>
    </w:p>
    <w:p w:rsidR="00DE5D09" w:rsidRPr="002A32ED" w:rsidRDefault="00DE5D09" w:rsidP="00C65A6E">
      <w:pPr>
        <w:pStyle w:val="Default"/>
        <w:numPr>
          <w:ilvl w:val="2"/>
          <w:numId w:val="9"/>
        </w:numPr>
        <w:spacing w:after="120"/>
        <w:ind w:left="709" w:hanging="709"/>
        <w:jc w:val="both"/>
        <w:rPr>
          <w:rFonts w:ascii="Times New Roman" w:hAnsi="Times New Roman" w:cs="Times New Roman"/>
          <w:color w:val="auto"/>
        </w:rPr>
      </w:pPr>
      <w:r w:rsidRPr="002A32ED">
        <w:rPr>
          <w:rFonts w:ascii="Times New Roman" w:hAnsi="Times New Roman" w:cs="Times New Roman"/>
          <w:color w:val="auto"/>
        </w:rPr>
        <w:lastRenderedPageBreak/>
        <w:t xml:space="preserve">Kasutajal ei ole kohustusliku liikluskindlustuse lepingute lõpetamise õigust. Kasutaja võib muuta vastavalt liikluskindlustuse seadusele kohustusliku liikluskindlustuse lepingut maksevabaks üksnes Kasutusse andja eelneval nõusolekul. Nõusoleku taotlemisel on Kasutaja kohustatud esitama Kasutusse andjale põhjused, mis tingivad bussi liikluses mitteosalemise liikluskindlustuse lepingu maksevabaks taotlemise perioodi jooksul. Liiklusõnnetuse korral kohustub Kasutaja teavitama sellest liiklus- ja liikluskindlustuse seaduses ja kindlustuslepingutes sätestatud juhtudel, korras ja tähtaegadel õiguskaitseorganeid ja/või päästeametit, liikluskahju tekitamise eest vastutava isiku kindlustusandjat ning Kasutaja vabatahtliku kindlustuse kindlustusandjat. </w:t>
      </w:r>
    </w:p>
    <w:p w:rsidR="00DE5D09" w:rsidRPr="002A32ED" w:rsidRDefault="00DE5D09" w:rsidP="00C65A6E">
      <w:pPr>
        <w:pStyle w:val="Default"/>
        <w:numPr>
          <w:ilvl w:val="2"/>
          <w:numId w:val="9"/>
        </w:numPr>
        <w:spacing w:after="120"/>
        <w:ind w:left="709" w:hanging="709"/>
        <w:jc w:val="both"/>
        <w:rPr>
          <w:rFonts w:ascii="Times New Roman" w:hAnsi="Times New Roman" w:cs="Times New Roman"/>
          <w:color w:val="auto"/>
        </w:rPr>
      </w:pPr>
      <w:r w:rsidRPr="002A32ED">
        <w:rPr>
          <w:rFonts w:ascii="Times New Roman" w:hAnsi="Times New Roman" w:cs="Times New Roman"/>
          <w:color w:val="auto"/>
        </w:rPr>
        <w:t>Kasutaja on kohustatud teatama kindlustuslepingu andmete (sh käesoleva Lepingu punktis 4.1</w:t>
      </w:r>
      <w:r>
        <w:rPr>
          <w:rFonts w:ascii="Times New Roman" w:hAnsi="Times New Roman" w:cs="Times New Roman"/>
          <w:color w:val="auto"/>
        </w:rPr>
        <w:t>3</w:t>
      </w:r>
      <w:r w:rsidRPr="002A32ED">
        <w:rPr>
          <w:rFonts w:ascii="Times New Roman" w:hAnsi="Times New Roman" w:cs="Times New Roman"/>
          <w:color w:val="auto"/>
        </w:rPr>
        <w:t xml:space="preserve">.2 nimetatud andmed ja riskiasjaolud) muutumisest kindlustusandjale kindlustuslepingus sätestatud tähtaegade jooksul. </w:t>
      </w:r>
    </w:p>
    <w:p w:rsidR="00DE5D09" w:rsidRPr="002A32ED" w:rsidRDefault="00DE5D09" w:rsidP="003251DC">
      <w:pPr>
        <w:pStyle w:val="Default"/>
        <w:numPr>
          <w:ilvl w:val="2"/>
          <w:numId w:val="9"/>
        </w:numPr>
        <w:spacing w:after="120"/>
        <w:ind w:left="851" w:hanging="851"/>
        <w:jc w:val="both"/>
        <w:rPr>
          <w:rFonts w:ascii="Times New Roman" w:hAnsi="Times New Roman" w:cs="Times New Roman"/>
          <w:color w:val="auto"/>
        </w:rPr>
      </w:pPr>
      <w:r w:rsidRPr="002A32ED">
        <w:rPr>
          <w:rFonts w:ascii="Times New Roman" w:hAnsi="Times New Roman" w:cs="Times New Roman"/>
          <w:color w:val="auto"/>
        </w:rPr>
        <w:t xml:space="preserve">Kindlustusjuhtumi saabumisel on Kasutaja, täitmaks kindlustuslepingu tingimusi, kohustatud võtma tarvitusele abinõud Vara päästmiseks ja edasise kahju vältimiseks, teatama kindlustusjuhtumist liiklus- ja liikluskindlustuse seaduses ja kindlustuslepingutes sätestatud ettenähtud korras ja tähtaegadel kindlustusandjale, õiguskaitseorganitele ja/või päästeametile ja mitte hiljem kui kolme (3) tööpäeva jooksul informeerima Kasutusse andjat kirjalikult Vara kahjustumise või hävimisega seotud teadaolevatest asjaoludest ning täitma täies ulatuses ja nõuetekohaselt kõiki teisi käesolevast Lepingust ja/või kindlustuslepingust tulenevaid kohustusi tagamaks kahju hüvitamine kindlustusandja poolt. Lepingust ja/või kindlustuslepingust tulenevate kohustuste mittenõuetekohase täitmisega kaasnevate kahjulike tagajärgede eest vastutab täies ulatuses Kasutaja. </w:t>
      </w:r>
    </w:p>
    <w:p w:rsidR="00DE5D09" w:rsidRPr="002A32ED" w:rsidRDefault="00DE5D09" w:rsidP="003251DC">
      <w:pPr>
        <w:pStyle w:val="Default"/>
        <w:numPr>
          <w:ilvl w:val="2"/>
          <w:numId w:val="9"/>
        </w:numPr>
        <w:spacing w:after="120"/>
        <w:ind w:left="851" w:hanging="851"/>
        <w:jc w:val="both"/>
        <w:rPr>
          <w:rFonts w:ascii="Times New Roman" w:hAnsi="Times New Roman" w:cs="Times New Roman"/>
          <w:color w:val="auto"/>
        </w:rPr>
      </w:pPr>
      <w:r w:rsidRPr="002A32ED">
        <w:rPr>
          <w:rFonts w:ascii="Times New Roman" w:hAnsi="Times New Roman" w:cs="Times New Roman"/>
          <w:color w:val="auto"/>
        </w:rPr>
        <w:t xml:space="preserve">Kindlustusleping sõlmitakse põhimõttel, et kindlustusjuhtumi saabumisel, mille tagajärjel hävib või kahjustub Vara ulatuses, mis toob kindlustuslepingu kohaselt kaasa kindlustusandja kohustuse maksta kindlustushüvitist, tasub kindlustusandja selle Kasutusse andja arvelduskontole või Kasutusse andja kirjaliku avalduse alusel remondiettevõtte arvelduskontole. </w:t>
      </w:r>
    </w:p>
    <w:p w:rsidR="00DE5D09" w:rsidRPr="002A32ED" w:rsidRDefault="00DE5D09" w:rsidP="003251DC">
      <w:pPr>
        <w:pStyle w:val="Default"/>
        <w:numPr>
          <w:ilvl w:val="3"/>
          <w:numId w:val="9"/>
        </w:numPr>
        <w:spacing w:after="120"/>
        <w:ind w:left="993" w:hanging="993"/>
        <w:jc w:val="both"/>
        <w:rPr>
          <w:rFonts w:ascii="Times New Roman" w:hAnsi="Times New Roman" w:cs="Times New Roman"/>
          <w:color w:val="auto"/>
        </w:rPr>
      </w:pPr>
      <w:r w:rsidRPr="002A32ED">
        <w:rPr>
          <w:rFonts w:ascii="Times New Roman" w:hAnsi="Times New Roman" w:cs="Times New Roman"/>
          <w:color w:val="auto"/>
        </w:rPr>
        <w:t xml:space="preserve">Juhul, kui Vara varastatakse, röövitakse, hävib või muutub kasutuskõlbmatuks, kohustub Kasutaja tasuma Kasutusse andja poolt näidatud arvelduskontole Vara jääkmaksumuse, milleks Pooled loevad Aktis avaldatud Vara maksumuse, millest on maha arvatud Vara amortisatsioon varastamise, röövimise, hävimise või kasutuskõlbmatuks muutumise päeva seisuga. Vara jääkmaksumus kantakse Kasutusse andja arvelduskontole neljateist (14) kalendripäeva jooksul Kasutusse andja poolt vastavasisulise teate postitamise päevast arvates. Juhul, kui Vara kindlustanud kindlustusandja on hüvitanud Kasutusse andjale Vara varguse, röövimise, või kasutuskõlbmatuks muutumisega tekitatud kahju, väheneb kindlustusandja poolt tasutud summa võrra Kasutaja poolt tasumisele kuuluv summa. </w:t>
      </w:r>
    </w:p>
    <w:p w:rsidR="00DE5D09" w:rsidRPr="002A32ED" w:rsidRDefault="00DE5D09" w:rsidP="003251DC">
      <w:pPr>
        <w:pStyle w:val="Default"/>
        <w:numPr>
          <w:ilvl w:val="3"/>
          <w:numId w:val="9"/>
        </w:numPr>
        <w:spacing w:after="120"/>
        <w:ind w:left="993" w:hanging="993"/>
        <w:jc w:val="both"/>
        <w:rPr>
          <w:rFonts w:ascii="Times New Roman" w:hAnsi="Times New Roman" w:cs="Times New Roman"/>
          <w:color w:val="auto"/>
        </w:rPr>
      </w:pPr>
      <w:r w:rsidRPr="002A32ED">
        <w:rPr>
          <w:rFonts w:ascii="Times New Roman" w:hAnsi="Times New Roman" w:cs="Times New Roman"/>
          <w:color w:val="auto"/>
        </w:rPr>
        <w:t xml:space="preserve">Vara vigastamise korral on Kasutaja kohustatud võimalikult lühikese aja jooksul taastama Vara omal kulul Kasutusse andja poolt aktsepteeritavas hooldusteenuse keskuses. Juhul, kui Vara kindlustanud kindlustusandja hüvitis Vara kahjustumise eest on laekunud Kasutusse andja arvelduskontole, on Kasutaja õigustatud nõudma nimetatud summade tasumist Kasutajale koheselt pärast Vara normaalse seisukorra taastamist. </w:t>
      </w:r>
    </w:p>
    <w:p w:rsidR="00DE5D09" w:rsidRPr="002A32ED" w:rsidRDefault="00DE5D09" w:rsidP="003251DC">
      <w:pPr>
        <w:pStyle w:val="Default"/>
        <w:numPr>
          <w:ilvl w:val="3"/>
          <w:numId w:val="9"/>
        </w:numPr>
        <w:spacing w:after="120"/>
        <w:ind w:left="993" w:hanging="993"/>
        <w:jc w:val="both"/>
        <w:rPr>
          <w:rFonts w:ascii="Times New Roman" w:hAnsi="Times New Roman" w:cs="Times New Roman"/>
          <w:color w:val="auto"/>
        </w:rPr>
      </w:pPr>
      <w:r w:rsidRPr="002A32ED">
        <w:rPr>
          <w:rFonts w:ascii="Times New Roman" w:hAnsi="Times New Roman" w:cs="Times New Roman"/>
          <w:color w:val="auto"/>
        </w:rPr>
        <w:t>Kui kindlustushüvitis ei kata Vara jääkmaksumust Lepingu punkti 4.1</w:t>
      </w:r>
      <w:r>
        <w:rPr>
          <w:rFonts w:ascii="Times New Roman" w:hAnsi="Times New Roman" w:cs="Times New Roman"/>
          <w:color w:val="auto"/>
        </w:rPr>
        <w:t>3</w:t>
      </w:r>
      <w:r w:rsidRPr="002A32ED">
        <w:rPr>
          <w:rFonts w:ascii="Times New Roman" w:hAnsi="Times New Roman" w:cs="Times New Roman"/>
          <w:color w:val="auto"/>
        </w:rPr>
        <w:t xml:space="preserve">.11.1 tähenduses ning Kasutusse andja nõudeid Kasutaja vastu täies ulatuses, on Kasutaja </w:t>
      </w:r>
      <w:r w:rsidRPr="002A32ED">
        <w:rPr>
          <w:rFonts w:ascii="Times New Roman" w:hAnsi="Times New Roman" w:cs="Times New Roman"/>
          <w:color w:val="auto"/>
        </w:rPr>
        <w:lastRenderedPageBreak/>
        <w:t xml:space="preserve">kohustatud Kasutusse andja esimesel kirjalikul nõudel neljateist (14) kalendripäeva jooksul Kasutusse andja poolt vastavasisulise teate postitamise päevast arvates hüvitama Kasutusse andjale nõude puudujääva osa. </w:t>
      </w:r>
    </w:p>
    <w:p w:rsidR="00DE5D09" w:rsidRPr="002A32ED" w:rsidRDefault="00DE5D09" w:rsidP="00D207D0">
      <w:pPr>
        <w:pStyle w:val="Default"/>
        <w:numPr>
          <w:ilvl w:val="2"/>
          <w:numId w:val="9"/>
        </w:numPr>
        <w:spacing w:after="120"/>
        <w:ind w:left="993" w:hanging="993"/>
        <w:jc w:val="both"/>
        <w:rPr>
          <w:rFonts w:ascii="Times New Roman" w:hAnsi="Times New Roman" w:cs="Times New Roman"/>
          <w:color w:val="auto"/>
        </w:rPr>
      </w:pPr>
      <w:r w:rsidRPr="002A32ED">
        <w:rPr>
          <w:rFonts w:ascii="Times New Roman" w:hAnsi="Times New Roman" w:cs="Times New Roman"/>
          <w:color w:val="auto"/>
        </w:rPr>
        <w:t>Vara hävimisel, kahjustumisel või kadumisel viisil, mida kindlustuslepingu järgi ei loeta kindlustusjuhtumiks ning mis seetõttu ei kuulu kindlustusandja poolt hüvitamisele on Kasutusse andja kui Vara omaniku ees vastutav Kasutaja. Kasutaja kohustub neljateist (14) kalendripäeva jooksul pärast Kasutusse andjalt vastavasisulise teate saamist kandma teatises määratud arvelduskontole Vara jääkmaksumuse kogu summa Lepingu punkti 4.1</w:t>
      </w:r>
      <w:r>
        <w:rPr>
          <w:rFonts w:ascii="Times New Roman" w:hAnsi="Times New Roman" w:cs="Times New Roman"/>
          <w:color w:val="auto"/>
        </w:rPr>
        <w:t>3</w:t>
      </w:r>
      <w:r w:rsidRPr="002A32ED">
        <w:rPr>
          <w:rFonts w:ascii="Times New Roman" w:hAnsi="Times New Roman" w:cs="Times New Roman"/>
          <w:color w:val="auto"/>
        </w:rPr>
        <w:t xml:space="preserve">.11.1 tähenduses. </w:t>
      </w:r>
    </w:p>
    <w:p w:rsidR="00DE5D09" w:rsidRPr="002A32ED" w:rsidRDefault="00DE5D09" w:rsidP="009B2719">
      <w:pPr>
        <w:pStyle w:val="Default"/>
        <w:numPr>
          <w:ilvl w:val="2"/>
          <w:numId w:val="9"/>
        </w:numPr>
        <w:spacing w:after="120"/>
        <w:ind w:left="993" w:hanging="993"/>
        <w:jc w:val="both"/>
        <w:rPr>
          <w:rFonts w:ascii="Times New Roman" w:hAnsi="Times New Roman" w:cs="Times New Roman"/>
          <w:color w:val="auto"/>
        </w:rPr>
      </w:pPr>
      <w:r w:rsidRPr="002A32ED">
        <w:rPr>
          <w:rFonts w:ascii="Times New Roman" w:hAnsi="Times New Roman" w:cs="Times New Roman"/>
          <w:color w:val="auto"/>
        </w:rPr>
        <w:t>Vara hävimisel või kahjustumisel, mille tagajärjel muutub võimatuks Vara edasine normaalne kasutamine ning varguse korral on Kasutaja kohustatud hüvitama Kasutusse andjale kindlustusvõtja omavastutusega seotud kulud. Kasutaja kohustub neljateist (14) kalendripäeva jooksul pärast Kasutusse andja poolt vastavasisulise teate saamist kandma märgitud summa teatises määratud arvelduskontole.</w:t>
      </w:r>
    </w:p>
    <w:p w:rsidR="00DE5D09" w:rsidRPr="002A32ED" w:rsidRDefault="00DE5D09" w:rsidP="00891483">
      <w:pPr>
        <w:pStyle w:val="Default"/>
        <w:numPr>
          <w:ilvl w:val="2"/>
          <w:numId w:val="9"/>
        </w:numPr>
        <w:spacing w:after="120"/>
        <w:ind w:left="993" w:hanging="993"/>
        <w:jc w:val="both"/>
        <w:rPr>
          <w:rFonts w:ascii="Times New Roman" w:hAnsi="Times New Roman" w:cs="Times New Roman"/>
          <w:color w:val="auto"/>
        </w:rPr>
      </w:pPr>
      <w:r w:rsidRPr="002A32ED">
        <w:rPr>
          <w:rFonts w:ascii="Times New Roman" w:hAnsi="Times New Roman" w:cs="Times New Roman"/>
          <w:color w:val="auto"/>
        </w:rPr>
        <w:t>Kasutajapoolne mittenõustumine kindlustusandja otsusega Vara hävimise või kahjustumise kindlustusjuhtumiks mittetunnistamise kohta või kahju hüvitamisest keeldumise kohta ja sellest tulenevad õiguslikud vaidlused ei vabasta Kasutajat tähtaegselt ja kohaselt täitmast Lepingu punktis 4.1</w:t>
      </w:r>
      <w:r>
        <w:rPr>
          <w:rFonts w:ascii="Times New Roman" w:hAnsi="Times New Roman" w:cs="Times New Roman"/>
          <w:color w:val="auto"/>
        </w:rPr>
        <w:t>3</w:t>
      </w:r>
      <w:r w:rsidRPr="002A32ED">
        <w:rPr>
          <w:rFonts w:ascii="Times New Roman" w:hAnsi="Times New Roman" w:cs="Times New Roman"/>
          <w:color w:val="auto"/>
        </w:rPr>
        <w:t>.13. sätestatud kohustust.</w:t>
      </w:r>
    </w:p>
    <w:p w:rsidR="00DE5D09" w:rsidRPr="002A32ED" w:rsidRDefault="00DE5D09" w:rsidP="00C06BE6">
      <w:pPr>
        <w:pStyle w:val="Default"/>
        <w:numPr>
          <w:ilvl w:val="2"/>
          <w:numId w:val="9"/>
        </w:numPr>
        <w:spacing w:after="120"/>
        <w:ind w:left="993" w:hanging="993"/>
        <w:jc w:val="both"/>
        <w:rPr>
          <w:rFonts w:ascii="Times New Roman" w:hAnsi="Times New Roman" w:cs="Times New Roman"/>
          <w:color w:val="auto"/>
        </w:rPr>
      </w:pPr>
      <w:r w:rsidRPr="002A32ED">
        <w:rPr>
          <w:rFonts w:ascii="Times New Roman" w:hAnsi="Times New Roman" w:cs="Times New Roman"/>
          <w:color w:val="auto"/>
        </w:rPr>
        <w:t xml:space="preserve">Kasutaja kohustub täitma kõiki Vara kindlustuslepingute tingimusi. </w:t>
      </w:r>
    </w:p>
    <w:p w:rsidR="00DE5D09" w:rsidRPr="002A32ED" w:rsidRDefault="00DE5D09" w:rsidP="00653CB5">
      <w:pPr>
        <w:pStyle w:val="Default"/>
        <w:numPr>
          <w:ilvl w:val="2"/>
          <w:numId w:val="9"/>
        </w:numPr>
        <w:spacing w:after="120"/>
        <w:ind w:left="993" w:hanging="993"/>
        <w:jc w:val="both"/>
        <w:rPr>
          <w:rFonts w:ascii="Times New Roman" w:hAnsi="Times New Roman" w:cs="Times New Roman"/>
          <w:color w:val="auto"/>
        </w:rPr>
      </w:pPr>
      <w:r w:rsidRPr="002A32ED">
        <w:rPr>
          <w:rFonts w:ascii="Times New Roman" w:hAnsi="Times New Roman" w:cs="Times New Roman"/>
          <w:color w:val="auto"/>
        </w:rPr>
        <w:t>Vara hävimisel, kaotsiminekul või kahjustumisel ulatuses, mis teeb võimatuks Vara edasise normaalse kasutamise, tasub Kasutaja, enne kindlustusandja otsust kahju hüvitamise kohta, Kasutusse andjale Vara jääkmaksumuse Lepingu punkti 4.1</w:t>
      </w:r>
      <w:r>
        <w:rPr>
          <w:rFonts w:ascii="Times New Roman" w:hAnsi="Times New Roman" w:cs="Times New Roman"/>
          <w:color w:val="auto"/>
        </w:rPr>
        <w:t>3</w:t>
      </w:r>
      <w:r w:rsidRPr="002A32ED">
        <w:rPr>
          <w:rFonts w:ascii="Times New Roman" w:hAnsi="Times New Roman" w:cs="Times New Roman"/>
          <w:color w:val="auto"/>
        </w:rPr>
        <w:t>.11.1 tähenduses. Vara jääkmaksumuse hüvitamisel võib Kasutusse andja loovutada Kasutajale nõudeõiguse kindlustusandja vastu. Juhul, kui Vara kindlustanud kindlustusandja hüvitis on laekunud Kasutusse andja arvelduskontole, on Kasutaja õigustatud nõudma nimetatud summade tasumist Kasutajale.</w:t>
      </w:r>
    </w:p>
    <w:p w:rsidR="00DE5D09" w:rsidRDefault="00DE5D09" w:rsidP="00E93637">
      <w:pPr>
        <w:pStyle w:val="Default"/>
        <w:numPr>
          <w:ilvl w:val="2"/>
          <w:numId w:val="9"/>
        </w:numPr>
        <w:spacing w:after="120"/>
        <w:ind w:left="993" w:hanging="993"/>
        <w:jc w:val="both"/>
        <w:rPr>
          <w:rFonts w:ascii="Times New Roman" w:hAnsi="Times New Roman" w:cs="Times New Roman"/>
          <w:color w:val="auto"/>
        </w:rPr>
      </w:pPr>
      <w:r w:rsidRPr="002A32ED">
        <w:rPr>
          <w:rFonts w:ascii="Times New Roman" w:hAnsi="Times New Roman" w:cs="Times New Roman"/>
          <w:color w:val="auto"/>
        </w:rPr>
        <w:t>Lepingu lõppemise või selle ülesütlemise korral on Kasutusse andjal käesolevast Lepingust tulenev volitus lõpetada kõik Kasutaja poolt Vara kindlustamiseks sõlmitud kindlustuslepingud</w:t>
      </w:r>
      <w:r>
        <w:rPr>
          <w:rFonts w:ascii="Times New Roman" w:hAnsi="Times New Roman" w:cs="Times New Roman"/>
          <w:color w:val="auto"/>
        </w:rPr>
        <w:t>.</w:t>
      </w:r>
    </w:p>
    <w:p w:rsidR="00DE5D09" w:rsidRPr="00E07195" w:rsidRDefault="00DE5D09" w:rsidP="00073DBA">
      <w:pPr>
        <w:pStyle w:val="Default"/>
        <w:numPr>
          <w:ilvl w:val="1"/>
          <w:numId w:val="9"/>
        </w:numPr>
        <w:spacing w:after="120"/>
        <w:ind w:left="567" w:hanging="567"/>
        <w:jc w:val="both"/>
        <w:rPr>
          <w:rFonts w:ascii="Times New Roman" w:hAnsi="Times New Roman" w:cs="Times New Roman"/>
          <w:color w:val="auto"/>
          <w:u w:val="single"/>
        </w:rPr>
      </w:pPr>
      <w:r w:rsidRPr="00E07195">
        <w:rPr>
          <w:rFonts w:ascii="Times New Roman" w:hAnsi="Times New Roman" w:cs="Times New Roman"/>
          <w:color w:val="auto"/>
          <w:u w:val="single"/>
        </w:rPr>
        <w:t>Kasutaja teavitamiskohustused</w:t>
      </w:r>
    </w:p>
    <w:p w:rsidR="00DE5D09" w:rsidRPr="00076836" w:rsidRDefault="00DE5D09" w:rsidP="00073DBA">
      <w:pPr>
        <w:pStyle w:val="Default"/>
        <w:numPr>
          <w:ilvl w:val="2"/>
          <w:numId w:val="9"/>
        </w:numPr>
        <w:spacing w:after="120"/>
        <w:ind w:left="709" w:hanging="709"/>
        <w:jc w:val="both"/>
        <w:rPr>
          <w:rFonts w:ascii="Times New Roman" w:hAnsi="Times New Roman" w:cs="Times New Roman"/>
          <w:color w:val="auto"/>
        </w:rPr>
      </w:pPr>
      <w:r w:rsidRPr="00076836">
        <w:rPr>
          <w:rFonts w:ascii="Times New Roman" w:hAnsi="Times New Roman" w:cs="Times New Roman"/>
          <w:color w:val="auto"/>
        </w:rPr>
        <w:t>Kasutaja informeerib kolme (3) tööpäeva jooksul Kasutusse andjat kui Lisas 1 loetletud Vara ja/või selle tehniline- ja/või garantiidokumentatsioon läheb kaotsi, kahjustub või hävib osaliselt või täielikult või kui Kasutajale on saanud teatavaks andmed sellise ohu kohta.</w:t>
      </w:r>
    </w:p>
    <w:p w:rsidR="00DE5D09" w:rsidRPr="0062164E" w:rsidRDefault="00DE5D09" w:rsidP="0062164E">
      <w:pPr>
        <w:pStyle w:val="Default"/>
        <w:numPr>
          <w:ilvl w:val="2"/>
          <w:numId w:val="9"/>
        </w:numPr>
        <w:spacing w:after="120"/>
        <w:ind w:left="709" w:hanging="709"/>
        <w:jc w:val="both"/>
        <w:rPr>
          <w:rFonts w:ascii="Times New Roman" w:hAnsi="Times New Roman" w:cs="Times New Roman"/>
          <w:color w:val="auto"/>
        </w:rPr>
      </w:pPr>
      <w:r w:rsidRPr="00076836">
        <w:rPr>
          <w:rFonts w:ascii="Times New Roman" w:hAnsi="Times New Roman" w:cs="Times New Roman"/>
          <w:color w:val="auto"/>
        </w:rPr>
        <w:t>Kasutaja on kohustatud teavitama Kasutusse andjat olukordadest kui Lisas 2 toodud remondi ja hoolduskeskused ei vii garantiiperioodil bussi töökorda</w:t>
      </w:r>
      <w:r>
        <w:rPr>
          <w:rFonts w:ascii="Times New Roman" w:hAnsi="Times New Roman" w:cs="Times New Roman"/>
          <w:color w:val="auto"/>
        </w:rPr>
        <w:t xml:space="preserve"> seitsme</w:t>
      </w:r>
      <w:r w:rsidRPr="00076836">
        <w:rPr>
          <w:rFonts w:ascii="Times New Roman" w:hAnsi="Times New Roman" w:cs="Times New Roman"/>
          <w:color w:val="auto"/>
        </w:rPr>
        <w:t xml:space="preserve"> </w:t>
      </w:r>
      <w:r>
        <w:rPr>
          <w:rFonts w:ascii="Times New Roman" w:hAnsi="Times New Roman" w:cs="Times New Roman"/>
          <w:color w:val="auto"/>
        </w:rPr>
        <w:t>(</w:t>
      </w:r>
      <w:r w:rsidRPr="00076836">
        <w:rPr>
          <w:rFonts w:ascii="Times New Roman" w:hAnsi="Times New Roman" w:cs="Times New Roman"/>
          <w:color w:val="auto"/>
        </w:rPr>
        <w:t>7</w:t>
      </w:r>
      <w:r>
        <w:rPr>
          <w:rFonts w:ascii="Times New Roman" w:hAnsi="Times New Roman" w:cs="Times New Roman"/>
          <w:color w:val="auto"/>
        </w:rPr>
        <w:t>)</w:t>
      </w:r>
      <w:r w:rsidRPr="00076836">
        <w:rPr>
          <w:rFonts w:ascii="Times New Roman" w:hAnsi="Times New Roman" w:cs="Times New Roman"/>
          <w:color w:val="auto"/>
        </w:rPr>
        <w:t xml:space="preserve"> päeva jooksul alates bussi remonti saabumisest või muudest Lisas 2 toodud kohustuste rikkumistes</w:t>
      </w:r>
      <w:r>
        <w:rPr>
          <w:rFonts w:ascii="Times New Roman" w:hAnsi="Times New Roman" w:cs="Times New Roman"/>
          <w:color w:val="auto"/>
        </w:rPr>
        <w:t>.</w:t>
      </w:r>
    </w:p>
    <w:p w:rsidR="00DE5D09" w:rsidRPr="002A32ED" w:rsidRDefault="00DE5D09" w:rsidP="00BD5132">
      <w:pPr>
        <w:pStyle w:val="Default"/>
        <w:numPr>
          <w:ilvl w:val="0"/>
          <w:numId w:val="9"/>
        </w:numPr>
        <w:spacing w:after="120"/>
        <w:ind w:left="426" w:hanging="426"/>
        <w:jc w:val="both"/>
        <w:rPr>
          <w:rFonts w:ascii="Times New Roman" w:hAnsi="Times New Roman" w:cs="Times New Roman"/>
          <w:b/>
          <w:color w:val="auto"/>
        </w:rPr>
      </w:pPr>
      <w:r w:rsidRPr="002A32ED">
        <w:rPr>
          <w:rFonts w:ascii="Times New Roman" w:hAnsi="Times New Roman" w:cs="Times New Roman"/>
          <w:b/>
          <w:bCs/>
          <w:color w:val="auto"/>
        </w:rPr>
        <w:t xml:space="preserve">Kasutusse andja õigused ja kohustused </w:t>
      </w:r>
    </w:p>
    <w:p w:rsidR="00DE5D09" w:rsidRPr="002A32ED" w:rsidRDefault="00DE5D09" w:rsidP="00BD5132">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Kasutusse andjal on õigus Vara välja nõuda mistahes ebaseaduslikust valdusest, nõuda Vara kasutamise takistuste kõrvaldamist ja kahju hüvitamist, mida on Varale tekitanud teised isikud, sealhulgas Kasutaja. </w:t>
      </w:r>
    </w:p>
    <w:p w:rsidR="00DE5D09" w:rsidRPr="002A32ED" w:rsidRDefault="00DE5D09" w:rsidP="007E00AF">
      <w:pPr>
        <w:pStyle w:val="Default"/>
        <w:numPr>
          <w:ilvl w:val="1"/>
          <w:numId w:val="9"/>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Kasutusse andjal on õigus igal liiniveo välisel ajal ise või koos ekspertidega kontrollida ja vaadata üle Vara seisukorda, kusjuures kui Vara kontrollimise vajaduse tingis Kasutaja </w:t>
      </w:r>
      <w:r w:rsidRPr="002A32ED">
        <w:rPr>
          <w:rFonts w:ascii="Times New Roman" w:hAnsi="Times New Roman" w:cs="Times New Roman"/>
          <w:color w:val="auto"/>
        </w:rPr>
        <w:lastRenderedPageBreak/>
        <w:t xml:space="preserve">poolne Lepingu tingimuste mittekohane täitmine, kohustub Kasutaja hüvitama kõik Kasutusse andja poolt kontrollimisega seoses kantud põhjendatud kulud. </w:t>
      </w:r>
    </w:p>
    <w:p w:rsidR="00DE5D09" w:rsidRPr="002A32ED" w:rsidRDefault="00DE5D09" w:rsidP="00377B05">
      <w:pPr>
        <w:pStyle w:val="Default"/>
        <w:numPr>
          <w:ilvl w:val="0"/>
          <w:numId w:val="9"/>
        </w:numPr>
        <w:spacing w:after="120"/>
        <w:ind w:left="426" w:hanging="426"/>
        <w:jc w:val="both"/>
        <w:rPr>
          <w:rFonts w:ascii="Times New Roman" w:hAnsi="Times New Roman" w:cs="Times New Roman"/>
          <w:b/>
          <w:color w:val="auto"/>
        </w:rPr>
      </w:pPr>
      <w:r w:rsidRPr="002A32ED">
        <w:rPr>
          <w:rFonts w:ascii="Times New Roman" w:hAnsi="Times New Roman" w:cs="Times New Roman"/>
          <w:b/>
          <w:bCs/>
          <w:color w:val="auto"/>
        </w:rPr>
        <w:t xml:space="preserve">Vara tagastamine </w:t>
      </w:r>
    </w:p>
    <w:p w:rsidR="00DE5D09" w:rsidRPr="002A32ED" w:rsidRDefault="00DE5D09" w:rsidP="007E00AF">
      <w:pPr>
        <w:pStyle w:val="Default"/>
        <w:numPr>
          <w:ilvl w:val="1"/>
          <w:numId w:val="12"/>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Lepingu lõppemisel või selle ülesütlemisel on Kasutaja kohustatud Vara ja Varaga seotud dokumentatsiooni viivitamatult tagastama Kasutusse andjale viimase poolt näidatud ajal ja kohas. Koos Varaga tuleb tagastada kõik Kasutajale üleantu vastavalt Lisale 1.</w:t>
      </w:r>
    </w:p>
    <w:p w:rsidR="00DE5D09" w:rsidRPr="002A32ED" w:rsidRDefault="00DE5D09" w:rsidP="00BD5132">
      <w:pPr>
        <w:pStyle w:val="Default"/>
        <w:numPr>
          <w:ilvl w:val="1"/>
          <w:numId w:val="12"/>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Kui Kasutaja ei täida Vara tagastamise kohustust nõuetekohaselt ning Kasutusse andja kannab seoses Vara valduse ülevõtmisega Kasutajalt kulusid, siis on Kasutaja kohustatud vastavad kulutused Kasutusse andjale hüvitama. Lisaks on Kasutusse andjal Lisa 1 kohase Vara ja/või Vara dokumentatsiooni tagastamisega viivitamise korral õigus nõuda Kasutajalt Trahvi 250 eurot iga viivitatud kalendripäeva eest. Nimetatud Trahvi maksmine ei vabasta Kasutajat Vara tagastamise kohustusest. </w:t>
      </w:r>
    </w:p>
    <w:p w:rsidR="00DE5D09" w:rsidRPr="002A32ED" w:rsidRDefault="00DE5D09" w:rsidP="00BD5132">
      <w:pPr>
        <w:pStyle w:val="Default"/>
        <w:numPr>
          <w:ilvl w:val="1"/>
          <w:numId w:val="12"/>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Kasutaja poolt Kasutusse andjale tagastav Vara peab olema Lisas 1 sätestatud komplektsuses, sisaldama Varaga kaasa antud või sellele paigaldatud lisaseadmeid ja Kasutusse andjale kuuluvaid parendusi. Kasutaja poolt üleantaval Varal ei tohi olla kahjustusi välja arvatud vara heaperemeheliku ja nõuetekohase kasutamise käigus tekkiv normaalne kulumine. </w:t>
      </w:r>
    </w:p>
    <w:p w:rsidR="00DE5D09" w:rsidRPr="002A32ED" w:rsidRDefault="00DE5D09" w:rsidP="00BD5132">
      <w:pPr>
        <w:pStyle w:val="Default"/>
        <w:numPr>
          <w:ilvl w:val="1"/>
          <w:numId w:val="12"/>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Punktis 7.3 kirjeldatud tagastatava Vara seisukorra tuvastamiseks moodustab Kasutusse andja komisjoni. Komisjon tuvastab Vara seisukorra mitte rohkem kui neli (4) kuud enne käesoleva Lepingu lõppemist. Komisjonil on õigus vara seisukorra tuvastamiseks kaasata spetsialiste või eksperte. </w:t>
      </w:r>
    </w:p>
    <w:p w:rsidR="00DE5D09" w:rsidRPr="002A32ED" w:rsidRDefault="00DE5D09" w:rsidP="00BD5132">
      <w:pPr>
        <w:pStyle w:val="Default"/>
        <w:numPr>
          <w:ilvl w:val="1"/>
          <w:numId w:val="12"/>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Juhul kui Leping öeldakse üles või lõpetatakse Poolte kokkuleppel, moodustatakse Kasutusse andja poolt komisjon ja see tuvastab Vara seisukorra esimesel võimalusel peale ülesütlemisavalduse kättesaamist Poole poolt või peale Poolte vahelise vastava kokkuleppe sõlmimist. Komisjonil on õigus vara seisukorra tuvastamiseks kaasata spetsialiste või eksperte.</w:t>
      </w:r>
    </w:p>
    <w:p w:rsidR="00DE5D09" w:rsidRPr="002A32ED" w:rsidRDefault="00DE5D09" w:rsidP="00BD5132">
      <w:pPr>
        <w:pStyle w:val="Default"/>
        <w:numPr>
          <w:ilvl w:val="1"/>
          <w:numId w:val="12"/>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Kui komisjon tuvastab, et Vara tagastamisel ei vasta selle seisund käesolevas Lepingus ettenähtud tingimustele, on Kasutusse andjal omal äranägemisel õigus nõuda Kasutajalt Lepingu lõppemise tähtajaks või punktis 7.5 kirjeldatud juhul Poolte poolt kokkulepitud tähtajaks Vara viimist omal kulul vastavasse seisu või Vara vastavasse seisu viimisega seotud kulude hüvitamist. </w:t>
      </w:r>
    </w:p>
    <w:p w:rsidR="00DE5D09" w:rsidRPr="002A32ED" w:rsidRDefault="00DE5D09" w:rsidP="00F1338A">
      <w:pPr>
        <w:pStyle w:val="Default"/>
        <w:numPr>
          <w:ilvl w:val="0"/>
          <w:numId w:val="14"/>
        </w:numPr>
        <w:spacing w:after="120"/>
        <w:ind w:left="426" w:hanging="426"/>
        <w:jc w:val="both"/>
        <w:rPr>
          <w:rFonts w:ascii="Times New Roman" w:hAnsi="Times New Roman" w:cs="Times New Roman"/>
          <w:b/>
          <w:color w:val="auto"/>
        </w:rPr>
      </w:pPr>
      <w:r w:rsidRPr="002A32ED">
        <w:rPr>
          <w:rFonts w:ascii="Times New Roman" w:hAnsi="Times New Roman" w:cs="Times New Roman"/>
          <w:b/>
          <w:color w:val="auto"/>
        </w:rPr>
        <w:t xml:space="preserve">Vastutus ja sanktsioonid </w:t>
      </w:r>
    </w:p>
    <w:p w:rsidR="00DE5D09" w:rsidRPr="002A32ED" w:rsidRDefault="00DE5D09" w:rsidP="00F1338A">
      <w:pPr>
        <w:pStyle w:val="Default"/>
        <w:numPr>
          <w:ilvl w:val="1"/>
          <w:numId w:val="14"/>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Punktide 4.1.- 4.1</w:t>
      </w:r>
      <w:r>
        <w:rPr>
          <w:rFonts w:ascii="Times New Roman" w:hAnsi="Times New Roman" w:cs="Times New Roman"/>
          <w:color w:val="auto"/>
        </w:rPr>
        <w:t>2</w:t>
      </w:r>
      <w:r w:rsidRPr="002A32ED">
        <w:rPr>
          <w:rFonts w:ascii="Times New Roman" w:hAnsi="Times New Roman" w:cs="Times New Roman"/>
          <w:color w:val="auto"/>
        </w:rPr>
        <w:t xml:space="preserve"> mittetäitmise või mittekohase täitmise korral on Kasutusse andjal õigus nõuda Kasutajalt Leppetrahvi kuni üks (1) protsenti Vara jääkmaksumusest. Kasutaja poolt eelnimetatud punktides sisalduvate kohustuste teistkordsel rikkumisel on Kasutusse andjal õigus Leping üles öelda ning sellega seonduvad kahjud Kasutajalt sisse nõuda.</w:t>
      </w:r>
    </w:p>
    <w:p w:rsidR="00DE5D09" w:rsidRPr="002A32ED" w:rsidRDefault="00DE5D09" w:rsidP="00C06BE6">
      <w:pPr>
        <w:pStyle w:val="Default"/>
        <w:numPr>
          <w:ilvl w:val="1"/>
          <w:numId w:val="14"/>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Juhul, kui Kasutaja ei esita Kasutusse andjale tähtaegselt kehtivat Vara kindlustuspoliisi või rikub muul viisil Lepingu punktides 4.1</w:t>
      </w:r>
      <w:r>
        <w:rPr>
          <w:rFonts w:ascii="Times New Roman" w:hAnsi="Times New Roman" w:cs="Times New Roman"/>
          <w:color w:val="auto"/>
        </w:rPr>
        <w:t>3</w:t>
      </w:r>
      <w:r w:rsidRPr="002A32ED">
        <w:rPr>
          <w:rFonts w:ascii="Times New Roman" w:hAnsi="Times New Roman" w:cs="Times New Roman"/>
          <w:color w:val="auto"/>
        </w:rPr>
        <w:t>.10, 4.1</w:t>
      </w:r>
      <w:r>
        <w:rPr>
          <w:rFonts w:ascii="Times New Roman" w:hAnsi="Times New Roman" w:cs="Times New Roman"/>
          <w:color w:val="auto"/>
        </w:rPr>
        <w:t>3</w:t>
      </w:r>
      <w:r w:rsidRPr="002A32ED">
        <w:rPr>
          <w:rFonts w:ascii="Times New Roman" w:hAnsi="Times New Roman" w:cs="Times New Roman"/>
          <w:color w:val="auto"/>
        </w:rPr>
        <w:t>.1.</w:t>
      </w:r>
      <w:r>
        <w:rPr>
          <w:rFonts w:ascii="Times New Roman" w:hAnsi="Times New Roman" w:cs="Times New Roman"/>
          <w:color w:val="auto"/>
        </w:rPr>
        <w:t>2</w:t>
      </w:r>
      <w:r w:rsidRPr="002A32ED">
        <w:rPr>
          <w:rFonts w:ascii="Times New Roman" w:hAnsi="Times New Roman" w:cs="Times New Roman"/>
          <w:color w:val="auto"/>
        </w:rPr>
        <w:t>, 4.1</w:t>
      </w:r>
      <w:r>
        <w:rPr>
          <w:rFonts w:ascii="Times New Roman" w:hAnsi="Times New Roman" w:cs="Times New Roman"/>
          <w:color w:val="auto"/>
        </w:rPr>
        <w:t>3</w:t>
      </w:r>
      <w:r w:rsidRPr="002A32ED">
        <w:rPr>
          <w:rFonts w:ascii="Times New Roman" w:hAnsi="Times New Roman" w:cs="Times New Roman"/>
          <w:color w:val="auto"/>
        </w:rPr>
        <w:t>.13 või 4.1</w:t>
      </w:r>
      <w:r>
        <w:rPr>
          <w:rFonts w:ascii="Times New Roman" w:hAnsi="Times New Roman" w:cs="Times New Roman"/>
          <w:color w:val="auto"/>
        </w:rPr>
        <w:t>3</w:t>
      </w:r>
      <w:r w:rsidRPr="002A32ED">
        <w:rPr>
          <w:rFonts w:ascii="Times New Roman" w:hAnsi="Times New Roman" w:cs="Times New Roman"/>
          <w:color w:val="auto"/>
        </w:rPr>
        <w:t>.14 nimetatud kohustusi, on Kasutusse andjal õigus nõuda Kasutajalt Leppetrahvi kuni kaks (2) % Vara jääkmaksumusest.</w:t>
      </w:r>
    </w:p>
    <w:p w:rsidR="00DE5D09" w:rsidRPr="002A32ED" w:rsidRDefault="00DE5D09" w:rsidP="00BD5132">
      <w:pPr>
        <w:pStyle w:val="Default"/>
        <w:numPr>
          <w:ilvl w:val="0"/>
          <w:numId w:val="14"/>
        </w:numPr>
        <w:spacing w:after="120"/>
        <w:ind w:left="426" w:hanging="426"/>
        <w:jc w:val="both"/>
        <w:rPr>
          <w:rFonts w:ascii="Times New Roman" w:hAnsi="Times New Roman" w:cs="Times New Roman"/>
          <w:b/>
          <w:color w:val="auto"/>
        </w:rPr>
      </w:pPr>
      <w:r w:rsidRPr="002A32ED">
        <w:rPr>
          <w:rFonts w:ascii="Times New Roman" w:hAnsi="Times New Roman" w:cs="Times New Roman"/>
          <w:b/>
          <w:bCs/>
          <w:color w:val="auto"/>
        </w:rPr>
        <w:t xml:space="preserve">Vääramatu jõud </w:t>
      </w:r>
    </w:p>
    <w:p w:rsidR="00DE5D09" w:rsidRPr="002A32ED" w:rsidRDefault="00DE5D09" w:rsidP="00BD5132">
      <w:pPr>
        <w:pStyle w:val="Default"/>
        <w:numPr>
          <w:ilvl w:val="1"/>
          <w:numId w:val="14"/>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Pooled vastutavad kohustuste rikkumise eest, välja arvatud juhul, kui rikkumine on vabandatav. Eeldatakse, et rikkumine ei ole vabandatav. Kohustuse rikkumine on vabandatav, kui selle on põhjustanud prognoosimatud või Poole tegevusest olenematud </w:t>
      </w:r>
      <w:r w:rsidRPr="002A32ED">
        <w:rPr>
          <w:rFonts w:ascii="Times New Roman" w:hAnsi="Times New Roman" w:cs="Times New Roman"/>
          <w:color w:val="auto"/>
        </w:rPr>
        <w:lastRenderedPageBreak/>
        <w:t>asjaolud (vääramatu jõud). Vääramatu jõud on asjaolu, mida Pool ei saanud mõjutada ja mõistlikkuse põhimõttest lähtudes ei saanud temalt oodata, et ta Lepingu sõlmimise ajal selle asjaoluga arvestaks, seda väldiks, takistava asjaolu või selle tagajärje ületaks.</w:t>
      </w:r>
    </w:p>
    <w:p w:rsidR="00DE5D09" w:rsidRPr="002A32ED" w:rsidRDefault="00DE5D09" w:rsidP="00BD5132">
      <w:pPr>
        <w:pStyle w:val="Default"/>
        <w:numPr>
          <w:ilvl w:val="1"/>
          <w:numId w:val="14"/>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Vääramatu jõu esinemise korral muutuvad Lepingus nimetatud tähtajad perioodi võrra, mille jooksul vääramatu jõu tegurid takistavad Lepingu täitmist. </w:t>
      </w:r>
    </w:p>
    <w:p w:rsidR="00DE5D09" w:rsidRPr="002A32ED" w:rsidRDefault="00DE5D09" w:rsidP="00BD5132">
      <w:pPr>
        <w:pStyle w:val="Default"/>
        <w:numPr>
          <w:ilvl w:val="1"/>
          <w:numId w:val="14"/>
        </w:numPr>
        <w:spacing w:after="120"/>
        <w:ind w:left="426" w:hanging="426"/>
        <w:jc w:val="both"/>
        <w:rPr>
          <w:rFonts w:ascii="Times New Roman" w:hAnsi="Times New Roman" w:cs="Times New Roman"/>
          <w:color w:val="auto"/>
        </w:rPr>
      </w:pPr>
      <w:r w:rsidRPr="002A32ED">
        <w:rPr>
          <w:rFonts w:ascii="Times New Roman" w:hAnsi="Times New Roman" w:cs="Times New Roman"/>
          <w:color w:val="auto"/>
        </w:rPr>
        <w:t xml:space="preserve">Pool, kes rikub kohustust vääramatu jõu asjaolude tõttu, peab vääramatu jõu asjaoludest ja nende mõjust viivitamata teatama teisele Poolele pärast seda, kui Pool sai teada või pidi teada saama vääramatu jõu asjaoludest, vastupidisel juhul kaotab ta õiguse nendele asjaoludele tugineda. Poolel on kohustus võtta tarvitusele kõik võimalikud abinõud vääramatu jõu asjaolude ning nende tagajärjel tekitatava kahju vältimiseks või mõju vähendamiseks. Pool on kohustatud jätkama oma Lepinguliste kohustuste täitmist niipea, kui vääramatu jõu asjaolud on kõrvaldatud. </w:t>
      </w:r>
    </w:p>
    <w:p w:rsidR="00DE5D09" w:rsidRPr="002A32ED" w:rsidRDefault="00DE5D09" w:rsidP="00BD5132">
      <w:pPr>
        <w:pStyle w:val="Default"/>
        <w:numPr>
          <w:ilvl w:val="0"/>
          <w:numId w:val="14"/>
        </w:numPr>
        <w:spacing w:after="120"/>
        <w:ind w:left="426" w:hanging="426"/>
        <w:jc w:val="both"/>
        <w:rPr>
          <w:rFonts w:ascii="Times New Roman" w:hAnsi="Times New Roman" w:cs="Times New Roman"/>
          <w:b/>
          <w:color w:val="auto"/>
        </w:rPr>
      </w:pPr>
      <w:r w:rsidRPr="002A32ED">
        <w:rPr>
          <w:rFonts w:ascii="Times New Roman" w:hAnsi="Times New Roman" w:cs="Times New Roman"/>
          <w:b/>
          <w:bCs/>
          <w:color w:val="auto"/>
        </w:rPr>
        <w:t xml:space="preserve">Lepingu jõustumine, muutmine ja lõpetamine </w:t>
      </w:r>
    </w:p>
    <w:p w:rsidR="00DE5D09" w:rsidRPr="002A32ED" w:rsidRDefault="00DE5D09" w:rsidP="0042639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Käesolev Leping jõustub pärast Lepingu ja Lepingu lisade mõlemapoolset allakirjutamist ja kehtib kuni Kasutaja ja </w:t>
      </w:r>
      <w:r>
        <w:rPr>
          <w:rFonts w:ascii="Times New Roman" w:hAnsi="Times New Roman" w:cs="Times New Roman"/>
          <w:color w:val="auto"/>
        </w:rPr>
        <w:t>Narva</w:t>
      </w:r>
      <w:r w:rsidRPr="002A32ED">
        <w:rPr>
          <w:rFonts w:ascii="Times New Roman" w:hAnsi="Times New Roman" w:cs="Times New Roman"/>
          <w:color w:val="auto"/>
        </w:rPr>
        <w:t xml:space="preserve"> Linnavalitsuse vahel </w:t>
      </w:r>
      <w:r>
        <w:rPr>
          <w:rFonts w:ascii="Times New Roman" w:hAnsi="Times New Roman" w:cs="Times New Roman"/>
          <w:color w:val="auto"/>
        </w:rPr>
        <w:t>………</w:t>
      </w:r>
      <w:r w:rsidRPr="002A32ED">
        <w:rPr>
          <w:rFonts w:ascii="Times New Roman" w:hAnsi="Times New Roman" w:cs="Times New Roman"/>
          <w:color w:val="auto"/>
        </w:rPr>
        <w:t xml:space="preserve"> sõlmitud ATL-i nr </w:t>
      </w:r>
      <w:r>
        <w:rPr>
          <w:rFonts w:ascii="Times New Roman" w:hAnsi="Times New Roman" w:cs="Times New Roman"/>
          <w:color w:val="auto"/>
        </w:rPr>
        <w:t>………..</w:t>
      </w:r>
      <w:r w:rsidRPr="002A32ED">
        <w:rPr>
          <w:rFonts w:ascii="Times New Roman" w:hAnsi="Times New Roman" w:cs="Times New Roman"/>
          <w:color w:val="auto"/>
        </w:rPr>
        <w:t xml:space="preserve"> kehtivuse aja lõpuni või kuni Poolte poolt võetud kõikide kohustuste nõuetekohase täitmiseni või Lepingu ennetähtaegse lõpetamiseni Lepingus ja seaduses ettenähtud alustel. </w:t>
      </w:r>
    </w:p>
    <w:p w:rsidR="00DE5D09" w:rsidRPr="002A32ED" w:rsidRDefault="00DE5D09" w:rsidP="0042639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Pooltel on õigus Lepingu muutmises kokku leppida üksnes juhul, kui muutmise tingivad objektiivsed asjaolud, mida ei olnud Kasutusse andjal või Kasutajal võimalik Lepingu sõlmimise ajal ette näha ja Lepingu muutmata jätmise korral satuks täielikult või olulises osas ohtu Lepinguga taotletud eesmärgi saavutamine. </w:t>
      </w:r>
    </w:p>
    <w:p w:rsidR="00DE5D09" w:rsidRPr="002A32ED" w:rsidRDefault="00DE5D09" w:rsidP="0042639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Kasutusse andjal on õigus Leping ennetähtaegselt üles öelda kui Kasutaja on ükskõik millist Lepingust tulenevat kohustust rikkunud korduvalt või oluliselt või see on põhjustanud olulise kahju tema kasutusse antud varale või kolmandale isikule või tema varale. Sellisel juhul on Kasutusse andjal õigus nõuda Kasutajalt leppetrahvi kuni 100 000 €. </w:t>
      </w:r>
    </w:p>
    <w:p w:rsidR="00DE5D09" w:rsidRPr="002A32ED" w:rsidRDefault="00DE5D09" w:rsidP="00BD5132">
      <w:pPr>
        <w:pStyle w:val="Default"/>
        <w:numPr>
          <w:ilvl w:val="0"/>
          <w:numId w:val="14"/>
        </w:numPr>
        <w:spacing w:after="120"/>
        <w:ind w:left="426" w:hanging="426"/>
        <w:jc w:val="both"/>
        <w:rPr>
          <w:rFonts w:ascii="Times New Roman" w:hAnsi="Times New Roman" w:cs="Times New Roman"/>
          <w:b/>
          <w:color w:val="auto"/>
        </w:rPr>
      </w:pPr>
      <w:r w:rsidRPr="002A32ED">
        <w:rPr>
          <w:rFonts w:ascii="Times New Roman" w:hAnsi="Times New Roman" w:cs="Times New Roman"/>
          <w:b/>
          <w:bCs/>
          <w:color w:val="auto"/>
        </w:rPr>
        <w:t xml:space="preserve">Vaidluste lahendamine </w:t>
      </w:r>
    </w:p>
    <w:p w:rsidR="00DE5D09" w:rsidRPr="002A32ED" w:rsidRDefault="00DE5D09" w:rsidP="00640C4C">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Kõik Lepingu täitmisest, muutmisest, lõpetamisest või vastutuse kohaldamisest tulenevad vaidlusküsimused lahendatakse läbirääkimiste teel. </w:t>
      </w:r>
    </w:p>
    <w:p w:rsidR="00DE5D09" w:rsidRPr="002A32ED" w:rsidRDefault="00DE5D09" w:rsidP="00BD513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Kui läbirääkimistega kokkulepet ei saavutata, lahendatakse vaidlus Eesti Vabariigi õigusaktidega sätestatud korras Kasutusse andja asukohajärgses kohtus. Lepingu sisu puhul kohaldatakse Eesti Vabariigis kehtivaid õigusakte. </w:t>
      </w:r>
    </w:p>
    <w:p w:rsidR="00DE5D09" w:rsidRPr="002A32ED" w:rsidRDefault="00DE5D09" w:rsidP="00BD513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Lepingu tõlgendamisel lähtutakse Poolte ühisest tegelikust tahtest, isegi kui see erineb sõnade tavapärasest tähendusest. Kui Poolte ühist tegelikku tahet ei õnnestu kindlaks teha, tuleb Lepingut tõlgendada nii, nagu teise Poolega samasugune mõistlik isik pidi Lepingut samade asjaolude esinemise korral mõistma. </w:t>
      </w:r>
    </w:p>
    <w:p w:rsidR="00DE5D09" w:rsidRPr="002A32ED" w:rsidRDefault="00DE5D09" w:rsidP="00BD513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Lepingu tingimust tuleb tõlgendada koos Lepingu teiste tingimustega, andes igaühele neist tähenduse, mis lähtub Lepingu kui terviku tähendusest. Lepingu tingimuste tõlgendamisel eelistatakse tõlgendust, mis muudab Lepingu tingimuse seaduslikuks või kehtivaks. </w:t>
      </w:r>
    </w:p>
    <w:p w:rsidR="00DE5D09" w:rsidRPr="002A32ED" w:rsidRDefault="00DE5D09" w:rsidP="00BD5132">
      <w:pPr>
        <w:pStyle w:val="Default"/>
        <w:numPr>
          <w:ilvl w:val="0"/>
          <w:numId w:val="14"/>
        </w:numPr>
        <w:spacing w:after="120"/>
        <w:ind w:left="426" w:hanging="426"/>
        <w:jc w:val="both"/>
        <w:rPr>
          <w:rFonts w:ascii="Times New Roman" w:hAnsi="Times New Roman" w:cs="Times New Roman"/>
          <w:b/>
          <w:color w:val="auto"/>
        </w:rPr>
      </w:pPr>
      <w:r w:rsidRPr="002A32ED">
        <w:rPr>
          <w:rFonts w:ascii="Times New Roman" w:hAnsi="Times New Roman" w:cs="Times New Roman"/>
          <w:b/>
          <w:bCs/>
          <w:color w:val="auto"/>
        </w:rPr>
        <w:t xml:space="preserve">Teabe vahetamine </w:t>
      </w:r>
    </w:p>
    <w:p w:rsidR="00DE5D09" w:rsidRPr="002A32ED" w:rsidRDefault="00DE5D09" w:rsidP="00BD513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Pooled kohustuvad teist Poolt teavitama kõikidest asjaoludest, mis võivad mõjutada või takistada Lepingus sätestatud kohustuste täitmist või õiguste realiseerimist. </w:t>
      </w:r>
    </w:p>
    <w:p w:rsidR="00DE5D09" w:rsidRPr="002A32ED" w:rsidRDefault="00DE5D09" w:rsidP="00BD513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lastRenderedPageBreak/>
        <w:t xml:space="preserve">Kõik Lepingu täitmisega või Lepingust tulenevate vaidlustega seotud teated ja info on ametlikult ning kooskõlas Lepinguga esitatud, kui nimetatud teated on Poolele edastatud kirja (sh elektronkirja) või faksi teel või antud üle allkirja vastu Lepingu punktis 13.1 või 13.2 nimetatud esindajatele. </w:t>
      </w:r>
    </w:p>
    <w:p w:rsidR="00DE5D09" w:rsidRPr="002A32ED" w:rsidRDefault="00DE5D09" w:rsidP="00BD513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Kõigist muudatustest Lepingus nimetatud andmetes teatatakse teisele Poolele 2 (kahe) tööpäeva jooksul muudatuste tegemisest arvates.</w:t>
      </w:r>
    </w:p>
    <w:p w:rsidR="00DE5D09" w:rsidRPr="002A32ED" w:rsidRDefault="00DE5D09" w:rsidP="00BD5132">
      <w:pPr>
        <w:pStyle w:val="Default"/>
        <w:numPr>
          <w:ilvl w:val="0"/>
          <w:numId w:val="14"/>
        </w:numPr>
        <w:spacing w:after="120"/>
        <w:ind w:left="426" w:hanging="426"/>
        <w:jc w:val="both"/>
        <w:rPr>
          <w:rFonts w:ascii="Times New Roman" w:hAnsi="Times New Roman" w:cs="Times New Roman"/>
          <w:b/>
          <w:color w:val="auto"/>
        </w:rPr>
      </w:pPr>
      <w:r w:rsidRPr="002A32ED">
        <w:rPr>
          <w:rFonts w:ascii="Times New Roman" w:hAnsi="Times New Roman" w:cs="Times New Roman"/>
          <w:b/>
          <w:bCs/>
          <w:color w:val="auto"/>
        </w:rPr>
        <w:t xml:space="preserve">Muud sätted </w:t>
      </w:r>
    </w:p>
    <w:p w:rsidR="00DE5D09" w:rsidRPr="002A32ED" w:rsidRDefault="00DE5D09" w:rsidP="00640C4C">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Kumbki Pool ei tohi käesolevast Lepingust tulenevaid õigusi ja kohustusi anda üle kolmandale isikule ilma teise Poole nõusolekuta. </w:t>
      </w:r>
    </w:p>
    <w:p w:rsidR="00DE5D09" w:rsidRPr="002A32ED" w:rsidRDefault="00DE5D09" w:rsidP="00BD5132">
      <w:pPr>
        <w:pStyle w:val="Default"/>
        <w:numPr>
          <w:ilvl w:val="0"/>
          <w:numId w:val="14"/>
        </w:numPr>
        <w:spacing w:after="120"/>
        <w:ind w:left="426" w:hanging="426"/>
        <w:jc w:val="both"/>
        <w:rPr>
          <w:rFonts w:ascii="Times New Roman" w:hAnsi="Times New Roman" w:cs="Times New Roman"/>
          <w:b/>
          <w:color w:val="auto"/>
        </w:rPr>
      </w:pPr>
      <w:r w:rsidRPr="002A32ED">
        <w:rPr>
          <w:rFonts w:ascii="Times New Roman" w:hAnsi="Times New Roman" w:cs="Times New Roman"/>
          <w:b/>
          <w:bCs/>
          <w:color w:val="auto"/>
        </w:rPr>
        <w:t>Poolte volitatud esindajad</w:t>
      </w:r>
    </w:p>
    <w:p w:rsidR="00DE5D09" w:rsidRPr="002A32ED" w:rsidRDefault="00DE5D09" w:rsidP="00BD513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Kasutusse andja volitatud esindaja Lepingu tingimuste täitmisel ja kontrollimisel on </w:t>
      </w:r>
      <w:r>
        <w:rPr>
          <w:rFonts w:ascii="Times New Roman" w:hAnsi="Times New Roman" w:cs="Times New Roman"/>
          <w:b/>
          <w:color w:val="auto"/>
        </w:rPr>
        <w:t>…………</w:t>
      </w:r>
      <w:r w:rsidRPr="002A32ED">
        <w:rPr>
          <w:rFonts w:ascii="Times New Roman" w:hAnsi="Times New Roman" w:cs="Times New Roman"/>
          <w:color w:val="auto"/>
        </w:rPr>
        <w:t xml:space="preserve">, telefon </w:t>
      </w:r>
      <w:r>
        <w:rPr>
          <w:rFonts w:ascii="Times New Roman" w:hAnsi="Times New Roman" w:cs="Times New Roman"/>
          <w:color w:val="auto"/>
        </w:rPr>
        <w:t>……………</w:t>
      </w:r>
      <w:r w:rsidRPr="002A32ED">
        <w:rPr>
          <w:rFonts w:ascii="Times New Roman" w:hAnsi="Times New Roman" w:cs="Times New Roman"/>
          <w:color w:val="auto"/>
        </w:rPr>
        <w:t xml:space="preserve">, e-post </w:t>
      </w:r>
      <w:hyperlink r:id="rId9" w:history="1">
        <w:r>
          <w:rPr>
            <w:rStyle w:val="Hyperlink"/>
            <w:rFonts w:ascii="Times New Roman" w:hAnsi="Times New Roman"/>
          </w:rPr>
          <w:t>…………………..</w:t>
        </w:r>
      </w:hyperlink>
      <w:r w:rsidRPr="002A32ED">
        <w:rPr>
          <w:rFonts w:ascii="Times New Roman" w:hAnsi="Times New Roman" w:cs="Times New Roman"/>
          <w:color w:val="auto"/>
        </w:rPr>
        <w:t xml:space="preserve">  </w:t>
      </w:r>
    </w:p>
    <w:p w:rsidR="00DE5D09" w:rsidRPr="002A32ED" w:rsidRDefault="00DE5D09" w:rsidP="00BD5132">
      <w:pPr>
        <w:pStyle w:val="Default"/>
        <w:numPr>
          <w:ilvl w:val="1"/>
          <w:numId w:val="14"/>
        </w:numPr>
        <w:spacing w:after="120"/>
        <w:ind w:left="567" w:hanging="567"/>
        <w:jc w:val="both"/>
        <w:rPr>
          <w:rFonts w:ascii="Times New Roman" w:hAnsi="Times New Roman" w:cs="Times New Roman"/>
          <w:color w:val="auto"/>
        </w:rPr>
      </w:pPr>
      <w:r w:rsidRPr="003A4FA5">
        <w:rPr>
          <w:rFonts w:ascii="Times New Roman" w:hAnsi="Times New Roman" w:cs="Times New Roman"/>
          <w:color w:val="auto"/>
        </w:rPr>
        <w:t xml:space="preserve">Kasutaja esindaja lepingu tingimuste täitmisel ja kontrollimisel on </w:t>
      </w:r>
      <w:r>
        <w:rPr>
          <w:rFonts w:ascii="Times New Roman" w:hAnsi="Times New Roman" w:cs="Times New Roman"/>
          <w:b/>
          <w:color w:val="auto"/>
        </w:rPr>
        <w:t>…………..</w:t>
      </w:r>
      <w:r w:rsidRPr="003A4FA5">
        <w:rPr>
          <w:rFonts w:ascii="Times New Roman" w:hAnsi="Times New Roman" w:cs="Times New Roman"/>
          <w:color w:val="auto"/>
        </w:rPr>
        <w:t>, telefon +372 </w:t>
      </w:r>
      <w:r>
        <w:rPr>
          <w:rFonts w:ascii="Times New Roman" w:hAnsi="Times New Roman" w:cs="Times New Roman"/>
          <w:color w:val="auto"/>
        </w:rPr>
        <w:t>……………</w:t>
      </w:r>
      <w:r w:rsidRPr="003A4FA5">
        <w:rPr>
          <w:rFonts w:ascii="Times New Roman" w:hAnsi="Times New Roman" w:cs="Times New Roman"/>
          <w:color w:val="auto"/>
        </w:rPr>
        <w:t xml:space="preserve">, e-post,  </w:t>
      </w:r>
      <w:hyperlink r:id="rId10" w:history="1">
        <w:r>
          <w:rPr>
            <w:rStyle w:val="Hyperlink"/>
            <w:rFonts w:ascii="Times New Roman" w:hAnsi="Times New Roman"/>
          </w:rPr>
          <w:t>……………………..</w:t>
        </w:r>
      </w:hyperlink>
    </w:p>
    <w:p w:rsidR="00DE5D09" w:rsidRPr="002A32ED" w:rsidRDefault="00DE5D09" w:rsidP="00BD5132">
      <w:pPr>
        <w:pStyle w:val="Default"/>
        <w:numPr>
          <w:ilvl w:val="1"/>
          <w:numId w:val="14"/>
        </w:numPr>
        <w:spacing w:after="120"/>
        <w:ind w:left="567" w:hanging="567"/>
        <w:jc w:val="both"/>
        <w:rPr>
          <w:rFonts w:ascii="Times New Roman" w:hAnsi="Times New Roman" w:cs="Times New Roman"/>
          <w:color w:val="auto"/>
        </w:rPr>
      </w:pPr>
      <w:r w:rsidRPr="002A32ED">
        <w:rPr>
          <w:rFonts w:ascii="Times New Roman" w:hAnsi="Times New Roman" w:cs="Times New Roman"/>
          <w:color w:val="auto"/>
        </w:rPr>
        <w:t xml:space="preserve">Juhul, kui Kasutusse andja või Kasutaja asendab oma esindaja teisega, teatab ta sellest teisele Poolele koheselt kirjalikult. </w:t>
      </w:r>
    </w:p>
    <w:p w:rsidR="00DE5D09" w:rsidRPr="002A32ED" w:rsidRDefault="00DE5D09" w:rsidP="00BD5132">
      <w:pPr>
        <w:pStyle w:val="Default"/>
        <w:spacing w:after="120"/>
        <w:jc w:val="both"/>
        <w:rPr>
          <w:rFonts w:ascii="Times New Roman" w:hAnsi="Times New Roman" w:cs="Times New Roman"/>
          <w:color w:val="auto"/>
        </w:rPr>
      </w:pPr>
    </w:p>
    <w:p w:rsidR="00DE5D09" w:rsidRPr="002A32ED" w:rsidRDefault="00DE5D09" w:rsidP="00BD5132">
      <w:pPr>
        <w:pStyle w:val="Default"/>
        <w:spacing w:after="120"/>
        <w:jc w:val="both"/>
        <w:rPr>
          <w:rFonts w:ascii="Times New Roman" w:hAnsi="Times New Roman" w:cs="Times New Roman"/>
          <w:color w:val="auto"/>
        </w:rPr>
      </w:pPr>
      <w:r w:rsidRPr="002A32ED">
        <w:rPr>
          <w:rFonts w:ascii="Times New Roman" w:hAnsi="Times New Roman" w:cs="Times New Roman"/>
          <w:color w:val="auto"/>
        </w:rPr>
        <w:t xml:space="preserve">Poolte allkirjad: </w:t>
      </w:r>
    </w:p>
    <w:p w:rsidR="00DE5D09" w:rsidRPr="002A32ED" w:rsidRDefault="00DE5D09" w:rsidP="00BD5132">
      <w:pPr>
        <w:pStyle w:val="Default"/>
        <w:spacing w:after="120"/>
        <w:jc w:val="both"/>
        <w:rPr>
          <w:rFonts w:ascii="Times New Roman" w:hAnsi="Times New Roman" w:cs="Times New Roman"/>
          <w:color w:val="auto"/>
        </w:rPr>
      </w:pPr>
    </w:p>
    <w:p w:rsidR="00DE5D09" w:rsidRPr="002A32ED" w:rsidRDefault="00DE5D09" w:rsidP="00BD5132">
      <w:pPr>
        <w:pStyle w:val="Default"/>
        <w:spacing w:after="120"/>
        <w:jc w:val="both"/>
        <w:rPr>
          <w:rFonts w:ascii="Times New Roman" w:hAnsi="Times New Roman" w:cs="Times New Roman"/>
          <w:color w:val="auto"/>
        </w:rPr>
      </w:pPr>
      <w:r w:rsidRPr="002A32ED">
        <w:rPr>
          <w:rFonts w:ascii="Times New Roman" w:hAnsi="Times New Roman" w:cs="Times New Roman"/>
          <w:color w:val="auto"/>
        </w:rPr>
        <w:t>Kasutusse andja:</w:t>
      </w: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t xml:space="preserve">Kasutaja: </w:t>
      </w:r>
    </w:p>
    <w:p w:rsidR="00DE5D09" w:rsidRPr="002A32ED" w:rsidRDefault="00DE5D09" w:rsidP="00BD5132">
      <w:pPr>
        <w:pStyle w:val="Default"/>
        <w:spacing w:after="120"/>
        <w:jc w:val="both"/>
        <w:rPr>
          <w:rFonts w:ascii="Times New Roman" w:hAnsi="Times New Roman" w:cs="Times New Roman"/>
          <w:color w:val="808080"/>
        </w:rPr>
      </w:pPr>
      <w:r w:rsidRPr="002A32ED">
        <w:rPr>
          <w:rFonts w:ascii="Times New Roman" w:hAnsi="Times New Roman" w:cs="Times New Roman"/>
          <w:color w:val="808080"/>
        </w:rPr>
        <w:t>(allkirjastatud digitaalselt)</w:t>
      </w:r>
      <w:r w:rsidRPr="002A32ED">
        <w:rPr>
          <w:rFonts w:ascii="Times New Roman" w:hAnsi="Times New Roman" w:cs="Times New Roman"/>
          <w:color w:val="808080"/>
        </w:rPr>
        <w:tab/>
      </w:r>
      <w:r w:rsidRPr="002A32ED">
        <w:rPr>
          <w:rFonts w:ascii="Times New Roman" w:hAnsi="Times New Roman" w:cs="Times New Roman"/>
          <w:color w:val="808080"/>
        </w:rPr>
        <w:tab/>
      </w:r>
      <w:r w:rsidRPr="002A32ED">
        <w:rPr>
          <w:rFonts w:ascii="Times New Roman" w:hAnsi="Times New Roman" w:cs="Times New Roman"/>
          <w:color w:val="808080"/>
        </w:rPr>
        <w:tab/>
      </w:r>
      <w:r w:rsidRPr="002A32ED">
        <w:rPr>
          <w:rFonts w:ascii="Times New Roman" w:hAnsi="Times New Roman" w:cs="Times New Roman"/>
          <w:color w:val="808080"/>
        </w:rPr>
        <w:tab/>
      </w:r>
      <w:r w:rsidRPr="002A32ED">
        <w:rPr>
          <w:rFonts w:ascii="Times New Roman" w:hAnsi="Times New Roman" w:cs="Times New Roman"/>
          <w:color w:val="808080"/>
        </w:rPr>
        <w:tab/>
      </w:r>
      <w:r w:rsidRPr="002A32ED">
        <w:rPr>
          <w:rFonts w:ascii="Times New Roman" w:hAnsi="Times New Roman" w:cs="Times New Roman"/>
          <w:color w:val="808080"/>
        </w:rPr>
        <w:tab/>
        <w:t>(allkirjastatud digitaalselt)</w:t>
      </w:r>
    </w:p>
    <w:p w:rsidR="00DE5D09" w:rsidRPr="00E12ECF" w:rsidRDefault="00DE5D09" w:rsidP="0049365A">
      <w:pPr>
        <w:pStyle w:val="Default"/>
        <w:spacing w:after="120"/>
        <w:jc w:val="both"/>
        <w:rPr>
          <w:rFonts w:ascii="Times New Roman" w:hAnsi="Times New Roman" w:cs="Times New Roman"/>
          <w:color w:val="auto"/>
        </w:rPr>
      </w:pP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r>
      <w:r w:rsidRPr="002A32ED">
        <w:rPr>
          <w:rFonts w:ascii="Times New Roman" w:hAnsi="Times New Roman" w:cs="Times New Roman"/>
          <w:color w:val="auto"/>
        </w:rPr>
        <w:tab/>
      </w:r>
    </w:p>
    <w:p w:rsidR="00DE5D09" w:rsidRDefault="00DE5D09" w:rsidP="00BD5132">
      <w:pPr>
        <w:pStyle w:val="Default"/>
        <w:spacing w:after="120"/>
        <w:jc w:val="both"/>
        <w:rPr>
          <w:rFonts w:ascii="Times New Roman" w:hAnsi="Times New Roman" w:cs="Times New Roman"/>
          <w:color w:val="808080"/>
        </w:rPr>
      </w:pPr>
    </w:p>
    <w:p w:rsidR="00DE5D09" w:rsidRDefault="00DE5D09" w:rsidP="00BD5132">
      <w:pPr>
        <w:pStyle w:val="Default"/>
        <w:spacing w:after="120"/>
        <w:jc w:val="both"/>
        <w:rPr>
          <w:rFonts w:ascii="Times New Roman" w:hAnsi="Times New Roman" w:cs="Times New Roman"/>
          <w:color w:val="808080"/>
        </w:rPr>
      </w:pPr>
    </w:p>
    <w:p w:rsidR="00DE5D09" w:rsidRDefault="00DE5D09" w:rsidP="00BD5132">
      <w:pPr>
        <w:pStyle w:val="Default"/>
        <w:spacing w:after="120"/>
        <w:jc w:val="both"/>
        <w:rPr>
          <w:rFonts w:ascii="Times New Roman" w:hAnsi="Times New Roman" w:cs="Times New Roman"/>
          <w:color w:val="808080"/>
        </w:rPr>
      </w:pPr>
    </w:p>
    <w:p w:rsidR="00DE5D09" w:rsidRDefault="00DE5D09" w:rsidP="00BD5132">
      <w:pPr>
        <w:pStyle w:val="Default"/>
        <w:spacing w:after="120"/>
        <w:jc w:val="both"/>
        <w:rPr>
          <w:rFonts w:ascii="Times New Roman" w:hAnsi="Times New Roman" w:cs="Times New Roman"/>
          <w:color w:val="808080"/>
        </w:rPr>
      </w:pPr>
    </w:p>
    <w:p w:rsidR="00DE5D09" w:rsidRPr="00E12ECF" w:rsidRDefault="00DE5D09" w:rsidP="00640C4C">
      <w:pPr>
        <w:pStyle w:val="Default"/>
        <w:spacing w:after="120"/>
        <w:jc w:val="both"/>
        <w:rPr>
          <w:rFonts w:ascii="Times New Roman" w:hAnsi="Times New Roman" w:cs="Times New Roman"/>
          <w:color w:val="808080"/>
        </w:rPr>
      </w:pPr>
    </w:p>
    <w:sectPr w:rsidR="00DE5D09" w:rsidRPr="00E12ECF" w:rsidSect="004329B4">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D09" w:rsidRDefault="00DE5D09" w:rsidP="00440BEB">
      <w:pPr>
        <w:spacing w:after="0" w:line="240" w:lineRule="auto"/>
      </w:pPr>
      <w:r>
        <w:separator/>
      </w:r>
    </w:p>
  </w:endnote>
  <w:endnote w:type="continuationSeparator" w:id="0">
    <w:p w:rsidR="00DE5D09" w:rsidRDefault="00DE5D09" w:rsidP="00440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D09" w:rsidRDefault="00DE5D09" w:rsidP="00440BEB">
      <w:pPr>
        <w:spacing w:after="0" w:line="240" w:lineRule="auto"/>
      </w:pPr>
      <w:r>
        <w:separator/>
      </w:r>
    </w:p>
  </w:footnote>
  <w:footnote w:type="continuationSeparator" w:id="0">
    <w:p w:rsidR="00DE5D09" w:rsidRDefault="00DE5D09" w:rsidP="00440BE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D09" w:rsidRDefault="00DE5D09" w:rsidP="00440BEB">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DE4E9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6C2603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FC0EB2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3A2D3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174DE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D261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68696A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9B0D8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F64BD4"/>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CCFC57B6"/>
    <w:lvl w:ilvl="0">
      <w:start w:val="1"/>
      <w:numFmt w:val="bullet"/>
      <w:lvlText w:val=""/>
      <w:lvlJc w:val="left"/>
      <w:pPr>
        <w:tabs>
          <w:tab w:val="num" w:pos="360"/>
        </w:tabs>
        <w:ind w:left="360" w:hanging="360"/>
      </w:pPr>
      <w:rPr>
        <w:rFonts w:ascii="Symbol" w:hAnsi="Symbol" w:hint="default"/>
      </w:rPr>
    </w:lvl>
  </w:abstractNum>
  <w:abstractNum w:abstractNumId="10">
    <w:nsid w:val="000B5315"/>
    <w:multiLevelType w:val="hybridMultilevel"/>
    <w:tmpl w:val="45623CB4"/>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nsid w:val="073A6E96"/>
    <w:multiLevelType w:val="hybridMultilevel"/>
    <w:tmpl w:val="713479E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nsid w:val="0B4D3099"/>
    <w:multiLevelType w:val="hybridMultilevel"/>
    <w:tmpl w:val="1BFAAF8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nsid w:val="0DEB27D5"/>
    <w:multiLevelType w:val="multilevel"/>
    <w:tmpl w:val="23D881B2"/>
    <w:lvl w:ilvl="0">
      <w:start w:val="8"/>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4">
    <w:nsid w:val="10374C21"/>
    <w:multiLevelType w:val="hybridMultilevel"/>
    <w:tmpl w:val="227C3D42"/>
    <w:lvl w:ilvl="0" w:tplc="1984620A">
      <w:start w:val="1"/>
      <w:numFmt w:val="decimal"/>
      <w:lvlText w:val="3. %1"/>
      <w:lvlJc w:val="left"/>
      <w:pPr>
        <w:ind w:left="1146" w:hanging="360"/>
      </w:pPr>
      <w:rPr>
        <w:rFonts w:cs="Times New Roman" w:hint="default"/>
      </w:rPr>
    </w:lvl>
    <w:lvl w:ilvl="1" w:tplc="04250019" w:tentative="1">
      <w:start w:val="1"/>
      <w:numFmt w:val="lowerLetter"/>
      <w:lvlText w:val="%2."/>
      <w:lvlJc w:val="left"/>
      <w:pPr>
        <w:ind w:left="1866" w:hanging="360"/>
      </w:pPr>
      <w:rPr>
        <w:rFonts w:cs="Times New Roman"/>
      </w:rPr>
    </w:lvl>
    <w:lvl w:ilvl="2" w:tplc="0425001B" w:tentative="1">
      <w:start w:val="1"/>
      <w:numFmt w:val="lowerRoman"/>
      <w:lvlText w:val="%3."/>
      <w:lvlJc w:val="right"/>
      <w:pPr>
        <w:ind w:left="2586" w:hanging="180"/>
      </w:pPr>
      <w:rPr>
        <w:rFonts w:cs="Times New Roman"/>
      </w:rPr>
    </w:lvl>
    <w:lvl w:ilvl="3" w:tplc="0425000F" w:tentative="1">
      <w:start w:val="1"/>
      <w:numFmt w:val="decimal"/>
      <w:lvlText w:val="%4."/>
      <w:lvlJc w:val="left"/>
      <w:pPr>
        <w:ind w:left="3306" w:hanging="360"/>
      </w:pPr>
      <w:rPr>
        <w:rFonts w:cs="Times New Roman"/>
      </w:rPr>
    </w:lvl>
    <w:lvl w:ilvl="4" w:tplc="04250019" w:tentative="1">
      <w:start w:val="1"/>
      <w:numFmt w:val="lowerLetter"/>
      <w:lvlText w:val="%5."/>
      <w:lvlJc w:val="left"/>
      <w:pPr>
        <w:ind w:left="4026" w:hanging="360"/>
      </w:pPr>
      <w:rPr>
        <w:rFonts w:cs="Times New Roman"/>
      </w:rPr>
    </w:lvl>
    <w:lvl w:ilvl="5" w:tplc="0425001B" w:tentative="1">
      <w:start w:val="1"/>
      <w:numFmt w:val="lowerRoman"/>
      <w:lvlText w:val="%6."/>
      <w:lvlJc w:val="right"/>
      <w:pPr>
        <w:ind w:left="4746" w:hanging="180"/>
      </w:pPr>
      <w:rPr>
        <w:rFonts w:cs="Times New Roman"/>
      </w:rPr>
    </w:lvl>
    <w:lvl w:ilvl="6" w:tplc="0425000F" w:tentative="1">
      <w:start w:val="1"/>
      <w:numFmt w:val="decimal"/>
      <w:lvlText w:val="%7."/>
      <w:lvlJc w:val="left"/>
      <w:pPr>
        <w:ind w:left="5466" w:hanging="360"/>
      </w:pPr>
      <w:rPr>
        <w:rFonts w:cs="Times New Roman"/>
      </w:rPr>
    </w:lvl>
    <w:lvl w:ilvl="7" w:tplc="04250019" w:tentative="1">
      <w:start w:val="1"/>
      <w:numFmt w:val="lowerLetter"/>
      <w:lvlText w:val="%8."/>
      <w:lvlJc w:val="left"/>
      <w:pPr>
        <w:ind w:left="6186" w:hanging="360"/>
      </w:pPr>
      <w:rPr>
        <w:rFonts w:cs="Times New Roman"/>
      </w:rPr>
    </w:lvl>
    <w:lvl w:ilvl="8" w:tplc="0425001B" w:tentative="1">
      <w:start w:val="1"/>
      <w:numFmt w:val="lowerRoman"/>
      <w:lvlText w:val="%9."/>
      <w:lvlJc w:val="right"/>
      <w:pPr>
        <w:ind w:left="6906" w:hanging="180"/>
      </w:pPr>
      <w:rPr>
        <w:rFonts w:cs="Times New Roman"/>
      </w:rPr>
    </w:lvl>
  </w:abstractNum>
  <w:abstractNum w:abstractNumId="15">
    <w:nsid w:val="12E053ED"/>
    <w:multiLevelType w:val="hybridMultilevel"/>
    <w:tmpl w:val="F100403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nsid w:val="186212EB"/>
    <w:multiLevelType w:val="multilevel"/>
    <w:tmpl w:val="88440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2548696D"/>
    <w:multiLevelType w:val="hybridMultilevel"/>
    <w:tmpl w:val="8AD218A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nsid w:val="2D123422"/>
    <w:multiLevelType w:val="hybridMultilevel"/>
    <w:tmpl w:val="84ECF33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nsid w:val="376272A5"/>
    <w:multiLevelType w:val="multilevel"/>
    <w:tmpl w:val="449EDA84"/>
    <w:lvl w:ilvl="0">
      <w:start w:val="4"/>
      <w:numFmt w:val="decimal"/>
      <w:lvlText w:val="%1."/>
      <w:lvlJc w:val="left"/>
      <w:pPr>
        <w:ind w:left="1146"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1506" w:hanging="720"/>
      </w:pPr>
      <w:rPr>
        <w:rFonts w:cs="Times New Roman" w:hint="default"/>
      </w:rPr>
    </w:lvl>
    <w:lvl w:ilvl="3">
      <w:start w:val="1"/>
      <w:numFmt w:val="decimal"/>
      <w:isLgl/>
      <w:lvlText w:val="%1.%2.%3.%4"/>
      <w:lvlJc w:val="left"/>
      <w:pPr>
        <w:ind w:left="1506" w:hanging="72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1866" w:hanging="1080"/>
      </w:pPr>
      <w:rPr>
        <w:rFonts w:cs="Times New Roman" w:hint="default"/>
      </w:rPr>
    </w:lvl>
    <w:lvl w:ilvl="6">
      <w:start w:val="1"/>
      <w:numFmt w:val="decimal"/>
      <w:isLgl/>
      <w:lvlText w:val="%1.%2.%3.%4.%5.%6.%7"/>
      <w:lvlJc w:val="left"/>
      <w:pPr>
        <w:ind w:left="2226" w:hanging="1440"/>
      </w:pPr>
      <w:rPr>
        <w:rFonts w:cs="Times New Roman" w:hint="default"/>
      </w:rPr>
    </w:lvl>
    <w:lvl w:ilvl="7">
      <w:start w:val="1"/>
      <w:numFmt w:val="decimal"/>
      <w:isLgl/>
      <w:lvlText w:val="%1.%2.%3.%4.%5.%6.%7.%8"/>
      <w:lvlJc w:val="left"/>
      <w:pPr>
        <w:ind w:left="2226" w:hanging="1440"/>
      </w:pPr>
      <w:rPr>
        <w:rFonts w:cs="Times New Roman" w:hint="default"/>
      </w:rPr>
    </w:lvl>
    <w:lvl w:ilvl="8">
      <w:start w:val="1"/>
      <w:numFmt w:val="decimal"/>
      <w:isLgl/>
      <w:lvlText w:val="%1.%2.%3.%4.%5.%6.%7.%8.%9"/>
      <w:lvlJc w:val="left"/>
      <w:pPr>
        <w:ind w:left="2586" w:hanging="1800"/>
      </w:pPr>
      <w:rPr>
        <w:rFonts w:cs="Times New Roman" w:hint="default"/>
      </w:rPr>
    </w:lvl>
  </w:abstractNum>
  <w:abstractNum w:abstractNumId="20">
    <w:nsid w:val="391106EF"/>
    <w:multiLevelType w:val="multilevel"/>
    <w:tmpl w:val="4A564226"/>
    <w:lvl w:ilvl="0">
      <w:start w:val="7"/>
      <w:numFmt w:val="decimal"/>
      <w:lvlText w:val="%1"/>
      <w:lvlJc w:val="left"/>
      <w:pPr>
        <w:ind w:left="360" w:hanging="360"/>
      </w:pPr>
      <w:rPr>
        <w:rFonts w:cs="Times New Roman" w:hint="default"/>
      </w:rPr>
    </w:lvl>
    <w:lvl w:ilvl="1">
      <w:start w:val="1"/>
      <w:numFmt w:val="decimal"/>
      <w:lvlText w:val="%1.%2"/>
      <w:lvlJc w:val="left"/>
      <w:pPr>
        <w:ind w:left="1506" w:hanging="360"/>
      </w:pPr>
      <w:rPr>
        <w:rFonts w:cs="Times New Roman" w:hint="default"/>
      </w:rPr>
    </w:lvl>
    <w:lvl w:ilvl="2">
      <w:start w:val="1"/>
      <w:numFmt w:val="decimal"/>
      <w:lvlText w:val="%1.%2.%3"/>
      <w:lvlJc w:val="left"/>
      <w:pPr>
        <w:ind w:left="3012" w:hanging="720"/>
      </w:pPr>
      <w:rPr>
        <w:rFonts w:cs="Times New Roman" w:hint="default"/>
      </w:rPr>
    </w:lvl>
    <w:lvl w:ilvl="3">
      <w:start w:val="1"/>
      <w:numFmt w:val="decimal"/>
      <w:lvlText w:val="%1.%2.%3.%4"/>
      <w:lvlJc w:val="left"/>
      <w:pPr>
        <w:ind w:left="4158" w:hanging="720"/>
      </w:pPr>
      <w:rPr>
        <w:rFonts w:cs="Times New Roman" w:hint="default"/>
      </w:rPr>
    </w:lvl>
    <w:lvl w:ilvl="4">
      <w:start w:val="1"/>
      <w:numFmt w:val="decimal"/>
      <w:lvlText w:val="%1.%2.%3.%4.%5"/>
      <w:lvlJc w:val="left"/>
      <w:pPr>
        <w:ind w:left="5664" w:hanging="1080"/>
      </w:pPr>
      <w:rPr>
        <w:rFonts w:cs="Times New Roman" w:hint="default"/>
      </w:rPr>
    </w:lvl>
    <w:lvl w:ilvl="5">
      <w:start w:val="1"/>
      <w:numFmt w:val="decimal"/>
      <w:lvlText w:val="%1.%2.%3.%4.%5.%6"/>
      <w:lvlJc w:val="left"/>
      <w:pPr>
        <w:ind w:left="6810" w:hanging="1080"/>
      </w:pPr>
      <w:rPr>
        <w:rFonts w:cs="Times New Roman" w:hint="default"/>
      </w:rPr>
    </w:lvl>
    <w:lvl w:ilvl="6">
      <w:start w:val="1"/>
      <w:numFmt w:val="decimal"/>
      <w:lvlText w:val="%1.%2.%3.%4.%5.%6.%7"/>
      <w:lvlJc w:val="left"/>
      <w:pPr>
        <w:ind w:left="8316" w:hanging="1440"/>
      </w:pPr>
      <w:rPr>
        <w:rFonts w:cs="Times New Roman" w:hint="default"/>
      </w:rPr>
    </w:lvl>
    <w:lvl w:ilvl="7">
      <w:start w:val="1"/>
      <w:numFmt w:val="decimal"/>
      <w:lvlText w:val="%1.%2.%3.%4.%5.%6.%7.%8"/>
      <w:lvlJc w:val="left"/>
      <w:pPr>
        <w:ind w:left="9462" w:hanging="1440"/>
      </w:pPr>
      <w:rPr>
        <w:rFonts w:cs="Times New Roman" w:hint="default"/>
      </w:rPr>
    </w:lvl>
    <w:lvl w:ilvl="8">
      <w:start w:val="1"/>
      <w:numFmt w:val="decimal"/>
      <w:lvlText w:val="%1.%2.%3.%4.%5.%6.%7.%8.%9"/>
      <w:lvlJc w:val="left"/>
      <w:pPr>
        <w:ind w:left="10968" w:hanging="1800"/>
      </w:pPr>
      <w:rPr>
        <w:rFonts w:cs="Times New Roman" w:hint="default"/>
      </w:rPr>
    </w:lvl>
  </w:abstractNum>
  <w:abstractNum w:abstractNumId="21">
    <w:nsid w:val="3DF63CEA"/>
    <w:multiLevelType w:val="hybridMultilevel"/>
    <w:tmpl w:val="6868E0C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nsid w:val="4781586D"/>
    <w:multiLevelType w:val="hybridMultilevel"/>
    <w:tmpl w:val="21EA6CB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nsid w:val="49C71463"/>
    <w:multiLevelType w:val="hybridMultilevel"/>
    <w:tmpl w:val="227C3D42"/>
    <w:lvl w:ilvl="0" w:tplc="1984620A">
      <w:start w:val="1"/>
      <w:numFmt w:val="decimal"/>
      <w:lvlText w:val="3. %1"/>
      <w:lvlJc w:val="left"/>
      <w:pPr>
        <w:ind w:left="1146" w:hanging="360"/>
      </w:pPr>
      <w:rPr>
        <w:rFonts w:cs="Times New Roman" w:hint="default"/>
      </w:rPr>
    </w:lvl>
    <w:lvl w:ilvl="1" w:tplc="04250019" w:tentative="1">
      <w:start w:val="1"/>
      <w:numFmt w:val="lowerLetter"/>
      <w:lvlText w:val="%2."/>
      <w:lvlJc w:val="left"/>
      <w:pPr>
        <w:ind w:left="1866" w:hanging="360"/>
      </w:pPr>
      <w:rPr>
        <w:rFonts w:cs="Times New Roman"/>
      </w:rPr>
    </w:lvl>
    <w:lvl w:ilvl="2" w:tplc="0425001B" w:tentative="1">
      <w:start w:val="1"/>
      <w:numFmt w:val="lowerRoman"/>
      <w:lvlText w:val="%3."/>
      <w:lvlJc w:val="right"/>
      <w:pPr>
        <w:ind w:left="2586" w:hanging="180"/>
      </w:pPr>
      <w:rPr>
        <w:rFonts w:cs="Times New Roman"/>
      </w:rPr>
    </w:lvl>
    <w:lvl w:ilvl="3" w:tplc="0425000F" w:tentative="1">
      <w:start w:val="1"/>
      <w:numFmt w:val="decimal"/>
      <w:lvlText w:val="%4."/>
      <w:lvlJc w:val="left"/>
      <w:pPr>
        <w:ind w:left="3306" w:hanging="360"/>
      </w:pPr>
      <w:rPr>
        <w:rFonts w:cs="Times New Roman"/>
      </w:rPr>
    </w:lvl>
    <w:lvl w:ilvl="4" w:tplc="04250019" w:tentative="1">
      <w:start w:val="1"/>
      <w:numFmt w:val="lowerLetter"/>
      <w:lvlText w:val="%5."/>
      <w:lvlJc w:val="left"/>
      <w:pPr>
        <w:ind w:left="4026" w:hanging="360"/>
      </w:pPr>
      <w:rPr>
        <w:rFonts w:cs="Times New Roman"/>
      </w:rPr>
    </w:lvl>
    <w:lvl w:ilvl="5" w:tplc="0425001B" w:tentative="1">
      <w:start w:val="1"/>
      <w:numFmt w:val="lowerRoman"/>
      <w:lvlText w:val="%6."/>
      <w:lvlJc w:val="right"/>
      <w:pPr>
        <w:ind w:left="4746" w:hanging="180"/>
      </w:pPr>
      <w:rPr>
        <w:rFonts w:cs="Times New Roman"/>
      </w:rPr>
    </w:lvl>
    <w:lvl w:ilvl="6" w:tplc="0425000F" w:tentative="1">
      <w:start w:val="1"/>
      <w:numFmt w:val="decimal"/>
      <w:lvlText w:val="%7."/>
      <w:lvlJc w:val="left"/>
      <w:pPr>
        <w:ind w:left="5466" w:hanging="360"/>
      </w:pPr>
      <w:rPr>
        <w:rFonts w:cs="Times New Roman"/>
      </w:rPr>
    </w:lvl>
    <w:lvl w:ilvl="7" w:tplc="04250019" w:tentative="1">
      <w:start w:val="1"/>
      <w:numFmt w:val="lowerLetter"/>
      <w:lvlText w:val="%8."/>
      <w:lvlJc w:val="left"/>
      <w:pPr>
        <w:ind w:left="6186" w:hanging="360"/>
      </w:pPr>
      <w:rPr>
        <w:rFonts w:cs="Times New Roman"/>
      </w:rPr>
    </w:lvl>
    <w:lvl w:ilvl="8" w:tplc="0425001B" w:tentative="1">
      <w:start w:val="1"/>
      <w:numFmt w:val="lowerRoman"/>
      <w:lvlText w:val="%9."/>
      <w:lvlJc w:val="right"/>
      <w:pPr>
        <w:ind w:left="6906" w:hanging="180"/>
      </w:pPr>
      <w:rPr>
        <w:rFonts w:cs="Times New Roman"/>
      </w:rPr>
    </w:lvl>
  </w:abstractNum>
  <w:abstractNum w:abstractNumId="24">
    <w:nsid w:val="6F305109"/>
    <w:multiLevelType w:val="hybridMultilevel"/>
    <w:tmpl w:val="26E2FBC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nsid w:val="7943471D"/>
    <w:multiLevelType w:val="hybridMultilevel"/>
    <w:tmpl w:val="DCD68D4A"/>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nsid w:val="7A2533C2"/>
    <w:multiLevelType w:val="hybridMultilevel"/>
    <w:tmpl w:val="A3989D6A"/>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nsid w:val="7DC24D2E"/>
    <w:multiLevelType w:val="hybridMultilevel"/>
    <w:tmpl w:val="64A23424"/>
    <w:lvl w:ilvl="0" w:tplc="5394C242">
      <w:start w:val="1"/>
      <w:numFmt w:val="decimal"/>
      <w:lvlText w:val="5. %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8"/>
  </w:num>
  <w:num w:numId="2">
    <w:abstractNumId w:val="21"/>
  </w:num>
  <w:num w:numId="3">
    <w:abstractNumId w:val="16"/>
  </w:num>
  <w:num w:numId="4">
    <w:abstractNumId w:val="25"/>
  </w:num>
  <w:num w:numId="5">
    <w:abstractNumId w:val="14"/>
  </w:num>
  <w:num w:numId="6">
    <w:abstractNumId w:val="23"/>
  </w:num>
  <w:num w:numId="7">
    <w:abstractNumId w:val="11"/>
  </w:num>
  <w:num w:numId="8">
    <w:abstractNumId w:val="17"/>
  </w:num>
  <w:num w:numId="9">
    <w:abstractNumId w:val="19"/>
  </w:num>
  <w:num w:numId="10">
    <w:abstractNumId w:val="27"/>
  </w:num>
  <w:num w:numId="11">
    <w:abstractNumId w:val="15"/>
  </w:num>
  <w:num w:numId="12">
    <w:abstractNumId w:val="20"/>
  </w:num>
  <w:num w:numId="13">
    <w:abstractNumId w:val="10"/>
  </w:num>
  <w:num w:numId="14">
    <w:abstractNumId w:val="13"/>
  </w:num>
  <w:num w:numId="15">
    <w:abstractNumId w:val="26"/>
  </w:num>
  <w:num w:numId="16">
    <w:abstractNumId w:val="12"/>
  </w:num>
  <w:num w:numId="17">
    <w:abstractNumId w:val="22"/>
  </w:num>
  <w:num w:numId="18">
    <w:abstractNumId w:val="24"/>
  </w:num>
  <w:num w:numId="19">
    <w:abstractNumId w:val="18"/>
  </w:num>
  <w:num w:numId="20">
    <w:abstractNumId w:val="8"/>
  </w:num>
  <w:num w:numId="21">
    <w:abstractNumId w:val="9"/>
  </w:num>
  <w:num w:numId="22">
    <w:abstractNumId w:val="7"/>
  </w:num>
  <w:num w:numId="23">
    <w:abstractNumId w:val="6"/>
  </w:num>
  <w:num w:numId="24">
    <w:abstractNumId w:val="5"/>
  </w:num>
  <w:num w:numId="25">
    <w:abstractNumId w:val="4"/>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276"/>
    <w:rsid w:val="000058BB"/>
    <w:rsid w:val="00016E2D"/>
    <w:rsid w:val="00025ECE"/>
    <w:rsid w:val="00050CA5"/>
    <w:rsid w:val="0005172D"/>
    <w:rsid w:val="000647CC"/>
    <w:rsid w:val="00073DBA"/>
    <w:rsid w:val="00076836"/>
    <w:rsid w:val="00085003"/>
    <w:rsid w:val="0009160F"/>
    <w:rsid w:val="000A5639"/>
    <w:rsid w:val="000C6616"/>
    <w:rsid w:val="000C6DFD"/>
    <w:rsid w:val="000D49EA"/>
    <w:rsid w:val="000E7583"/>
    <w:rsid w:val="001140FB"/>
    <w:rsid w:val="00124EBA"/>
    <w:rsid w:val="00135D86"/>
    <w:rsid w:val="0014178A"/>
    <w:rsid w:val="00145A12"/>
    <w:rsid w:val="00164F0E"/>
    <w:rsid w:val="0017056D"/>
    <w:rsid w:val="0017493E"/>
    <w:rsid w:val="00183E56"/>
    <w:rsid w:val="00187ED4"/>
    <w:rsid w:val="001B6001"/>
    <w:rsid w:val="001C3651"/>
    <w:rsid w:val="001C708B"/>
    <w:rsid w:val="001D1A5B"/>
    <w:rsid w:val="001D7FF8"/>
    <w:rsid w:val="001E0FF9"/>
    <w:rsid w:val="001F0B07"/>
    <w:rsid w:val="002035BF"/>
    <w:rsid w:val="00204988"/>
    <w:rsid w:val="00275779"/>
    <w:rsid w:val="00276F46"/>
    <w:rsid w:val="00277869"/>
    <w:rsid w:val="00290F19"/>
    <w:rsid w:val="002A32ED"/>
    <w:rsid w:val="002A63B4"/>
    <w:rsid w:val="002C549B"/>
    <w:rsid w:val="002E0067"/>
    <w:rsid w:val="003140A4"/>
    <w:rsid w:val="0031483E"/>
    <w:rsid w:val="0032255C"/>
    <w:rsid w:val="003251DC"/>
    <w:rsid w:val="003349F6"/>
    <w:rsid w:val="00354947"/>
    <w:rsid w:val="00377B05"/>
    <w:rsid w:val="003A4FA5"/>
    <w:rsid w:val="003B1D8B"/>
    <w:rsid w:val="003B413D"/>
    <w:rsid w:val="003C28FC"/>
    <w:rsid w:val="003C3276"/>
    <w:rsid w:val="003F40FC"/>
    <w:rsid w:val="00402981"/>
    <w:rsid w:val="00403CA0"/>
    <w:rsid w:val="0041119F"/>
    <w:rsid w:val="0041371D"/>
    <w:rsid w:val="00425AFB"/>
    <w:rsid w:val="00426392"/>
    <w:rsid w:val="00430656"/>
    <w:rsid w:val="00430947"/>
    <w:rsid w:val="004329B4"/>
    <w:rsid w:val="004340AE"/>
    <w:rsid w:val="00440BEB"/>
    <w:rsid w:val="004560BD"/>
    <w:rsid w:val="004743BA"/>
    <w:rsid w:val="00486429"/>
    <w:rsid w:val="0049365A"/>
    <w:rsid w:val="004A5537"/>
    <w:rsid w:val="004A7F96"/>
    <w:rsid w:val="004B4DBC"/>
    <w:rsid w:val="004D7C76"/>
    <w:rsid w:val="004F2AC8"/>
    <w:rsid w:val="00513EB9"/>
    <w:rsid w:val="00515DD3"/>
    <w:rsid w:val="00520D1D"/>
    <w:rsid w:val="00521110"/>
    <w:rsid w:val="005338F8"/>
    <w:rsid w:val="005343DE"/>
    <w:rsid w:val="005344D6"/>
    <w:rsid w:val="0053505C"/>
    <w:rsid w:val="00563EAF"/>
    <w:rsid w:val="00571FEC"/>
    <w:rsid w:val="0057463E"/>
    <w:rsid w:val="00583286"/>
    <w:rsid w:val="005A2B27"/>
    <w:rsid w:val="005B7954"/>
    <w:rsid w:val="00611B56"/>
    <w:rsid w:val="0062164E"/>
    <w:rsid w:val="00621872"/>
    <w:rsid w:val="00640439"/>
    <w:rsid w:val="00640C4C"/>
    <w:rsid w:val="00653C7C"/>
    <w:rsid w:val="00653CB5"/>
    <w:rsid w:val="006547C9"/>
    <w:rsid w:val="0067464F"/>
    <w:rsid w:val="00683ACE"/>
    <w:rsid w:val="006A6987"/>
    <w:rsid w:val="006B17CA"/>
    <w:rsid w:val="006B3E36"/>
    <w:rsid w:val="006C36E2"/>
    <w:rsid w:val="006C6544"/>
    <w:rsid w:val="006C68C6"/>
    <w:rsid w:val="006D1EA2"/>
    <w:rsid w:val="006E7DD3"/>
    <w:rsid w:val="006F0CD5"/>
    <w:rsid w:val="007022C1"/>
    <w:rsid w:val="00741255"/>
    <w:rsid w:val="00742303"/>
    <w:rsid w:val="00783AB1"/>
    <w:rsid w:val="007A0D30"/>
    <w:rsid w:val="007A6FAF"/>
    <w:rsid w:val="007C0C9B"/>
    <w:rsid w:val="007C2A91"/>
    <w:rsid w:val="007E00AF"/>
    <w:rsid w:val="007E26BF"/>
    <w:rsid w:val="007E3808"/>
    <w:rsid w:val="007F4047"/>
    <w:rsid w:val="008127F8"/>
    <w:rsid w:val="00812F27"/>
    <w:rsid w:val="00814E0B"/>
    <w:rsid w:val="008173B0"/>
    <w:rsid w:val="00842D72"/>
    <w:rsid w:val="00851820"/>
    <w:rsid w:val="00851D52"/>
    <w:rsid w:val="00856C1A"/>
    <w:rsid w:val="0086686F"/>
    <w:rsid w:val="008675C0"/>
    <w:rsid w:val="00884B0F"/>
    <w:rsid w:val="00890F86"/>
    <w:rsid w:val="00891483"/>
    <w:rsid w:val="00895425"/>
    <w:rsid w:val="008A540D"/>
    <w:rsid w:val="008B3DAF"/>
    <w:rsid w:val="008D3610"/>
    <w:rsid w:val="008D4CDE"/>
    <w:rsid w:val="008E2D14"/>
    <w:rsid w:val="00907873"/>
    <w:rsid w:val="009124B7"/>
    <w:rsid w:val="009333B8"/>
    <w:rsid w:val="00936E86"/>
    <w:rsid w:val="0095491D"/>
    <w:rsid w:val="00966FBE"/>
    <w:rsid w:val="009805E2"/>
    <w:rsid w:val="009A024E"/>
    <w:rsid w:val="009A091B"/>
    <w:rsid w:val="009A0C47"/>
    <w:rsid w:val="009A146B"/>
    <w:rsid w:val="009B2719"/>
    <w:rsid w:val="009D70C2"/>
    <w:rsid w:val="009E118B"/>
    <w:rsid w:val="009E22F8"/>
    <w:rsid w:val="00A06462"/>
    <w:rsid w:val="00A10CE1"/>
    <w:rsid w:val="00A161E4"/>
    <w:rsid w:val="00A162A3"/>
    <w:rsid w:val="00A17420"/>
    <w:rsid w:val="00A456A0"/>
    <w:rsid w:val="00A52063"/>
    <w:rsid w:val="00A5398C"/>
    <w:rsid w:val="00A544CD"/>
    <w:rsid w:val="00A62744"/>
    <w:rsid w:val="00A634B4"/>
    <w:rsid w:val="00A66010"/>
    <w:rsid w:val="00A7697D"/>
    <w:rsid w:val="00A76CB6"/>
    <w:rsid w:val="00A865B5"/>
    <w:rsid w:val="00AA4538"/>
    <w:rsid w:val="00AB2BBE"/>
    <w:rsid w:val="00AD6FAD"/>
    <w:rsid w:val="00B2337F"/>
    <w:rsid w:val="00B50743"/>
    <w:rsid w:val="00B54D8B"/>
    <w:rsid w:val="00B64767"/>
    <w:rsid w:val="00B661B1"/>
    <w:rsid w:val="00B66281"/>
    <w:rsid w:val="00BB0C8F"/>
    <w:rsid w:val="00BC1C9B"/>
    <w:rsid w:val="00BD5132"/>
    <w:rsid w:val="00BD6CC0"/>
    <w:rsid w:val="00BE308E"/>
    <w:rsid w:val="00BF0FA7"/>
    <w:rsid w:val="00C06BE6"/>
    <w:rsid w:val="00C13603"/>
    <w:rsid w:val="00C16680"/>
    <w:rsid w:val="00C20AD3"/>
    <w:rsid w:val="00C235E8"/>
    <w:rsid w:val="00C312D2"/>
    <w:rsid w:val="00C414B0"/>
    <w:rsid w:val="00C47B4F"/>
    <w:rsid w:val="00C507C6"/>
    <w:rsid w:val="00C52220"/>
    <w:rsid w:val="00C62D6F"/>
    <w:rsid w:val="00C65A6E"/>
    <w:rsid w:val="00C906AB"/>
    <w:rsid w:val="00C92D90"/>
    <w:rsid w:val="00C93D5D"/>
    <w:rsid w:val="00C9434C"/>
    <w:rsid w:val="00CA2C78"/>
    <w:rsid w:val="00CC1FE9"/>
    <w:rsid w:val="00D066B8"/>
    <w:rsid w:val="00D12AA6"/>
    <w:rsid w:val="00D207D0"/>
    <w:rsid w:val="00D220C0"/>
    <w:rsid w:val="00D31B1A"/>
    <w:rsid w:val="00D3347D"/>
    <w:rsid w:val="00D7342E"/>
    <w:rsid w:val="00D97D8B"/>
    <w:rsid w:val="00DA2D65"/>
    <w:rsid w:val="00DC3E96"/>
    <w:rsid w:val="00DC57FC"/>
    <w:rsid w:val="00DC7A5F"/>
    <w:rsid w:val="00DD65AA"/>
    <w:rsid w:val="00DE5D09"/>
    <w:rsid w:val="00E04E42"/>
    <w:rsid w:val="00E07195"/>
    <w:rsid w:val="00E12ECF"/>
    <w:rsid w:val="00E176AA"/>
    <w:rsid w:val="00E25B88"/>
    <w:rsid w:val="00E43A6F"/>
    <w:rsid w:val="00E43FCA"/>
    <w:rsid w:val="00E57720"/>
    <w:rsid w:val="00E70556"/>
    <w:rsid w:val="00E77492"/>
    <w:rsid w:val="00E85CF4"/>
    <w:rsid w:val="00E93637"/>
    <w:rsid w:val="00EA5D18"/>
    <w:rsid w:val="00EB4B8D"/>
    <w:rsid w:val="00EB7FC2"/>
    <w:rsid w:val="00EC59BF"/>
    <w:rsid w:val="00EC6845"/>
    <w:rsid w:val="00EE73AC"/>
    <w:rsid w:val="00F005E3"/>
    <w:rsid w:val="00F0073B"/>
    <w:rsid w:val="00F1338A"/>
    <w:rsid w:val="00F167FB"/>
    <w:rsid w:val="00F64C5C"/>
    <w:rsid w:val="00F70DAE"/>
    <w:rsid w:val="00F9163B"/>
    <w:rsid w:val="00F91711"/>
    <w:rsid w:val="00F96592"/>
    <w:rsid w:val="00FB3800"/>
    <w:rsid w:val="00FC00B3"/>
    <w:rsid w:val="00FC4C79"/>
    <w:rsid w:val="00FE1D37"/>
    <w:rsid w:val="00FE46F6"/>
    <w:rsid w:val="00FE77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CC0"/>
    <w:pPr>
      <w:spacing w:after="200" w:line="276" w:lineRule="auto"/>
    </w:pPr>
    <w:rPr>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3C3276"/>
    <w:pPr>
      <w:autoSpaceDE w:val="0"/>
      <w:autoSpaceDN w:val="0"/>
      <w:adjustRightInd w:val="0"/>
    </w:pPr>
    <w:rPr>
      <w:rFonts w:ascii="Georgia" w:hAnsi="Georgia" w:cs="Georgia"/>
      <w:color w:val="000000"/>
      <w:sz w:val="24"/>
      <w:szCs w:val="24"/>
      <w:lang w:val="et-EE" w:eastAsia="et-EE"/>
    </w:rPr>
  </w:style>
  <w:style w:type="paragraph" w:styleId="Header">
    <w:name w:val="header"/>
    <w:basedOn w:val="Normal"/>
    <w:link w:val="HeaderChar"/>
    <w:uiPriority w:val="99"/>
    <w:semiHidden/>
    <w:rsid w:val="00440BE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40BEB"/>
    <w:rPr>
      <w:rFonts w:cs="Times New Roman"/>
    </w:rPr>
  </w:style>
  <w:style w:type="paragraph" w:styleId="Footer">
    <w:name w:val="footer"/>
    <w:basedOn w:val="Normal"/>
    <w:link w:val="FooterChar"/>
    <w:uiPriority w:val="99"/>
    <w:semiHidden/>
    <w:rsid w:val="00440BE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40BEB"/>
    <w:rPr>
      <w:rFonts w:cs="Times New Roman"/>
    </w:rPr>
  </w:style>
  <w:style w:type="character" w:styleId="Hyperlink">
    <w:name w:val="Hyperlink"/>
    <w:basedOn w:val="DefaultParagraphFont"/>
    <w:uiPriority w:val="99"/>
    <w:rsid w:val="00A5398C"/>
    <w:rPr>
      <w:rFonts w:cs="Times New Roman"/>
      <w:color w:val="0000FF"/>
      <w:u w:val="single"/>
    </w:rPr>
  </w:style>
  <w:style w:type="character" w:styleId="FollowedHyperlink">
    <w:name w:val="FollowedHyperlink"/>
    <w:basedOn w:val="DefaultParagraphFont"/>
    <w:uiPriority w:val="99"/>
    <w:semiHidden/>
    <w:rsid w:val="006547C9"/>
    <w:rPr>
      <w:rFonts w:cs="Times New Roman"/>
      <w:color w:val="800080"/>
      <w:u w:val="single"/>
    </w:rPr>
  </w:style>
  <w:style w:type="character" w:styleId="CommentReference">
    <w:name w:val="annotation reference"/>
    <w:basedOn w:val="DefaultParagraphFont"/>
    <w:uiPriority w:val="99"/>
    <w:semiHidden/>
    <w:rsid w:val="0086686F"/>
    <w:rPr>
      <w:rFonts w:cs="Times New Roman"/>
      <w:sz w:val="16"/>
      <w:szCs w:val="16"/>
    </w:rPr>
  </w:style>
  <w:style w:type="paragraph" w:styleId="CommentText">
    <w:name w:val="annotation text"/>
    <w:basedOn w:val="Normal"/>
    <w:link w:val="CommentTextChar"/>
    <w:uiPriority w:val="99"/>
    <w:semiHidden/>
    <w:rsid w:val="0086686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6686F"/>
    <w:rPr>
      <w:rFonts w:cs="Times New Roman"/>
      <w:sz w:val="20"/>
      <w:szCs w:val="20"/>
    </w:rPr>
  </w:style>
  <w:style w:type="paragraph" w:styleId="CommentSubject">
    <w:name w:val="annotation subject"/>
    <w:basedOn w:val="CommentText"/>
    <w:next w:val="CommentText"/>
    <w:link w:val="CommentSubjectChar"/>
    <w:uiPriority w:val="99"/>
    <w:semiHidden/>
    <w:rsid w:val="0086686F"/>
    <w:rPr>
      <w:b/>
      <w:bCs/>
    </w:rPr>
  </w:style>
  <w:style w:type="character" w:customStyle="1" w:styleId="CommentSubjectChar">
    <w:name w:val="Comment Subject Char"/>
    <w:basedOn w:val="CommentTextChar"/>
    <w:link w:val="CommentSubject"/>
    <w:uiPriority w:val="99"/>
    <w:semiHidden/>
    <w:locked/>
    <w:rsid w:val="0086686F"/>
    <w:rPr>
      <w:rFonts w:cs="Times New Roman"/>
      <w:b/>
      <w:bCs/>
      <w:sz w:val="20"/>
      <w:szCs w:val="20"/>
    </w:rPr>
  </w:style>
  <w:style w:type="paragraph" w:styleId="BalloonText">
    <w:name w:val="Balloon Text"/>
    <w:basedOn w:val="Normal"/>
    <w:link w:val="BalloonTextChar"/>
    <w:uiPriority w:val="99"/>
    <w:semiHidden/>
    <w:rsid w:val="008668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686F"/>
    <w:rPr>
      <w:rFonts w:ascii="Tahoma" w:hAnsi="Tahoma" w:cs="Tahoma"/>
      <w:sz w:val="16"/>
      <w:szCs w:val="16"/>
    </w:rPr>
  </w:style>
  <w:style w:type="paragraph" w:styleId="ListNumber">
    <w:name w:val="List Number"/>
    <w:basedOn w:val="Normal"/>
    <w:uiPriority w:val="99"/>
    <w:semiHidden/>
    <w:rsid w:val="00FE1D37"/>
    <w:pPr>
      <w:numPr>
        <w:numId w:val="20"/>
      </w:numPr>
      <w:spacing w:after="0" w:line="240" w:lineRule="auto"/>
    </w:pPr>
    <w:rPr>
      <w:rFonts w:ascii="Times New Roman" w:hAnsi="Times New Roman"/>
      <w:sz w:val="24"/>
      <w:szCs w:val="24"/>
    </w:rPr>
  </w:style>
  <w:style w:type="paragraph" w:styleId="NormalWeb">
    <w:name w:val="Normal (Web)"/>
    <w:basedOn w:val="Normal"/>
    <w:uiPriority w:val="99"/>
    <w:rsid w:val="00FE1D37"/>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CC0"/>
    <w:pPr>
      <w:spacing w:after="200" w:line="276" w:lineRule="auto"/>
    </w:pPr>
    <w:rPr>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3C3276"/>
    <w:pPr>
      <w:autoSpaceDE w:val="0"/>
      <w:autoSpaceDN w:val="0"/>
      <w:adjustRightInd w:val="0"/>
    </w:pPr>
    <w:rPr>
      <w:rFonts w:ascii="Georgia" w:hAnsi="Georgia" w:cs="Georgia"/>
      <w:color w:val="000000"/>
      <w:sz w:val="24"/>
      <w:szCs w:val="24"/>
      <w:lang w:val="et-EE" w:eastAsia="et-EE"/>
    </w:rPr>
  </w:style>
  <w:style w:type="paragraph" w:styleId="Header">
    <w:name w:val="header"/>
    <w:basedOn w:val="Normal"/>
    <w:link w:val="HeaderChar"/>
    <w:uiPriority w:val="99"/>
    <w:semiHidden/>
    <w:rsid w:val="00440BE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40BEB"/>
    <w:rPr>
      <w:rFonts w:cs="Times New Roman"/>
    </w:rPr>
  </w:style>
  <w:style w:type="paragraph" w:styleId="Footer">
    <w:name w:val="footer"/>
    <w:basedOn w:val="Normal"/>
    <w:link w:val="FooterChar"/>
    <w:uiPriority w:val="99"/>
    <w:semiHidden/>
    <w:rsid w:val="00440BE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40BEB"/>
    <w:rPr>
      <w:rFonts w:cs="Times New Roman"/>
    </w:rPr>
  </w:style>
  <w:style w:type="character" w:styleId="Hyperlink">
    <w:name w:val="Hyperlink"/>
    <w:basedOn w:val="DefaultParagraphFont"/>
    <w:uiPriority w:val="99"/>
    <w:rsid w:val="00A5398C"/>
    <w:rPr>
      <w:rFonts w:cs="Times New Roman"/>
      <w:color w:val="0000FF"/>
      <w:u w:val="single"/>
    </w:rPr>
  </w:style>
  <w:style w:type="character" w:styleId="FollowedHyperlink">
    <w:name w:val="FollowedHyperlink"/>
    <w:basedOn w:val="DefaultParagraphFont"/>
    <w:uiPriority w:val="99"/>
    <w:semiHidden/>
    <w:rsid w:val="006547C9"/>
    <w:rPr>
      <w:rFonts w:cs="Times New Roman"/>
      <w:color w:val="800080"/>
      <w:u w:val="single"/>
    </w:rPr>
  </w:style>
  <w:style w:type="character" w:styleId="CommentReference">
    <w:name w:val="annotation reference"/>
    <w:basedOn w:val="DefaultParagraphFont"/>
    <w:uiPriority w:val="99"/>
    <w:semiHidden/>
    <w:rsid w:val="0086686F"/>
    <w:rPr>
      <w:rFonts w:cs="Times New Roman"/>
      <w:sz w:val="16"/>
      <w:szCs w:val="16"/>
    </w:rPr>
  </w:style>
  <w:style w:type="paragraph" w:styleId="CommentText">
    <w:name w:val="annotation text"/>
    <w:basedOn w:val="Normal"/>
    <w:link w:val="CommentTextChar"/>
    <w:uiPriority w:val="99"/>
    <w:semiHidden/>
    <w:rsid w:val="0086686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6686F"/>
    <w:rPr>
      <w:rFonts w:cs="Times New Roman"/>
      <w:sz w:val="20"/>
      <w:szCs w:val="20"/>
    </w:rPr>
  </w:style>
  <w:style w:type="paragraph" w:styleId="CommentSubject">
    <w:name w:val="annotation subject"/>
    <w:basedOn w:val="CommentText"/>
    <w:next w:val="CommentText"/>
    <w:link w:val="CommentSubjectChar"/>
    <w:uiPriority w:val="99"/>
    <w:semiHidden/>
    <w:rsid w:val="0086686F"/>
    <w:rPr>
      <w:b/>
      <w:bCs/>
    </w:rPr>
  </w:style>
  <w:style w:type="character" w:customStyle="1" w:styleId="CommentSubjectChar">
    <w:name w:val="Comment Subject Char"/>
    <w:basedOn w:val="CommentTextChar"/>
    <w:link w:val="CommentSubject"/>
    <w:uiPriority w:val="99"/>
    <w:semiHidden/>
    <w:locked/>
    <w:rsid w:val="0086686F"/>
    <w:rPr>
      <w:rFonts w:cs="Times New Roman"/>
      <w:b/>
      <w:bCs/>
      <w:sz w:val="20"/>
      <w:szCs w:val="20"/>
    </w:rPr>
  </w:style>
  <w:style w:type="paragraph" w:styleId="BalloonText">
    <w:name w:val="Balloon Text"/>
    <w:basedOn w:val="Normal"/>
    <w:link w:val="BalloonTextChar"/>
    <w:uiPriority w:val="99"/>
    <w:semiHidden/>
    <w:rsid w:val="008668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686F"/>
    <w:rPr>
      <w:rFonts w:ascii="Tahoma" w:hAnsi="Tahoma" w:cs="Tahoma"/>
      <w:sz w:val="16"/>
      <w:szCs w:val="16"/>
    </w:rPr>
  </w:style>
  <w:style w:type="paragraph" w:styleId="ListNumber">
    <w:name w:val="List Number"/>
    <w:basedOn w:val="Normal"/>
    <w:uiPriority w:val="99"/>
    <w:semiHidden/>
    <w:rsid w:val="00FE1D37"/>
    <w:pPr>
      <w:numPr>
        <w:numId w:val="20"/>
      </w:numPr>
      <w:spacing w:after="0" w:line="240" w:lineRule="auto"/>
    </w:pPr>
    <w:rPr>
      <w:rFonts w:ascii="Times New Roman" w:hAnsi="Times New Roman"/>
      <w:sz w:val="24"/>
      <w:szCs w:val="24"/>
    </w:rPr>
  </w:style>
  <w:style w:type="paragraph" w:styleId="NormalWeb">
    <w:name w:val="Normal (Web)"/>
    <w:basedOn w:val="Normal"/>
    <w:uiPriority w:val="99"/>
    <w:rsid w:val="00FE1D3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50194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i.ee/index.php?id=11674" TargetMode="External"/><Relationship Id="rId9" Type="http://schemas.openxmlformats.org/officeDocument/2006/relationships/hyperlink" Target="mailto:ingmar.roos@mnt.ee" TargetMode="External"/><Relationship Id="rId10" Type="http://schemas.openxmlformats.org/officeDocument/2006/relationships/hyperlink" Target="mailto:aivar.rea@gob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4017</Words>
  <Characters>22903</Characters>
  <Application>Microsoft Macintosh Word</Application>
  <DocSecurity>0</DocSecurity>
  <Lines>190</Lines>
  <Paragraphs>53</Paragraphs>
  <ScaleCrop>false</ScaleCrop>
  <Company>Majandus- ja Kommunikatsiooniministeerium</Company>
  <LinksUpToDate>false</LinksUpToDate>
  <CharactersWithSpaces>26867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mika.mannik</dc:creator>
  <cp:keywords/>
  <dc:description/>
  <cp:lastModifiedBy>Janno</cp:lastModifiedBy>
  <cp:revision>2</cp:revision>
  <dcterms:created xsi:type="dcterms:W3CDTF">2015-04-16T14:10:00Z</dcterms:created>
  <dcterms:modified xsi:type="dcterms:W3CDTF">2015-04-16T14:10:00Z</dcterms:modified>
</cp:coreProperties>
</file>