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E5D7A" w14:textId="77777777" w:rsidR="00F4414A" w:rsidRPr="006E211A" w:rsidRDefault="00F4414A" w:rsidP="00F4414A">
      <w:pPr>
        <w:jc w:val="right"/>
        <w:rPr>
          <w:lang w:val="et-EE"/>
        </w:rPr>
      </w:pPr>
      <w:bookmarkStart w:id="0" w:name="_GoBack"/>
      <w:bookmarkEnd w:id="0"/>
      <w:r w:rsidRPr="006E211A">
        <w:rPr>
          <w:lang w:val="et-EE"/>
        </w:rPr>
        <w:t>Eelnõu</w:t>
      </w:r>
    </w:p>
    <w:p w14:paraId="6994FD97" w14:textId="77777777" w:rsidR="00F4414A" w:rsidRPr="006E211A" w:rsidRDefault="00F4414A" w:rsidP="00F4414A">
      <w:pPr>
        <w:pStyle w:val="Heading1"/>
      </w:pPr>
      <w:r w:rsidRPr="006E211A">
        <w:t>NARVA LINNAVOLIKOGU</w:t>
      </w:r>
    </w:p>
    <w:p w14:paraId="13D175D5" w14:textId="77777777" w:rsidR="00F4414A" w:rsidRPr="006E211A" w:rsidRDefault="00F4414A" w:rsidP="00F4414A">
      <w:pPr>
        <w:pStyle w:val="Heading1"/>
      </w:pPr>
    </w:p>
    <w:p w14:paraId="65A21609" w14:textId="77777777" w:rsidR="00F4414A" w:rsidRPr="006E211A" w:rsidRDefault="00F4414A" w:rsidP="00F4414A">
      <w:pPr>
        <w:pStyle w:val="Heading1"/>
      </w:pPr>
      <w:r w:rsidRPr="006E211A">
        <w:t>O T S U S</w:t>
      </w:r>
    </w:p>
    <w:p w14:paraId="1634572D" w14:textId="77777777" w:rsidR="00F4414A" w:rsidRPr="006E211A" w:rsidRDefault="00F4414A" w:rsidP="00F4414A">
      <w:pPr>
        <w:jc w:val="both"/>
        <w:rPr>
          <w:lang w:val="et-EE"/>
        </w:rPr>
      </w:pPr>
    </w:p>
    <w:p w14:paraId="71010F25" w14:textId="77777777" w:rsidR="00F4414A" w:rsidRDefault="00F4414A" w:rsidP="00F4414A">
      <w:pPr>
        <w:pStyle w:val="Heading1"/>
        <w:jc w:val="both"/>
        <w:rPr>
          <w:b w:val="0"/>
          <w:bCs w:val="0"/>
        </w:rPr>
      </w:pPr>
    </w:p>
    <w:p w14:paraId="50AEE850" w14:textId="77777777" w:rsidR="00F4414A" w:rsidRPr="006E211A" w:rsidRDefault="00F4414A" w:rsidP="00F4414A">
      <w:pPr>
        <w:pStyle w:val="Heading1"/>
        <w:jc w:val="both"/>
        <w:rPr>
          <w:b w:val="0"/>
          <w:bCs w:val="0"/>
        </w:rPr>
      </w:pPr>
      <w:r w:rsidRPr="006E211A">
        <w:rPr>
          <w:b w:val="0"/>
          <w:bCs w:val="0"/>
        </w:rPr>
        <w:t xml:space="preserve">Narvas                                                                                                      </w:t>
      </w:r>
    </w:p>
    <w:p w14:paraId="6113383A" w14:textId="77777777" w:rsidR="00F4414A" w:rsidRPr="006E211A" w:rsidRDefault="00F4414A" w:rsidP="00F4414A">
      <w:pPr>
        <w:jc w:val="both"/>
        <w:rPr>
          <w:sz w:val="20"/>
          <w:lang w:val="et-EE"/>
        </w:rPr>
      </w:pPr>
    </w:p>
    <w:p w14:paraId="3960E9E1" w14:textId="77777777" w:rsidR="00F4414A" w:rsidRDefault="00F4414A" w:rsidP="00F4414A">
      <w:pPr>
        <w:jc w:val="both"/>
        <w:rPr>
          <w:lang w:val="et-EE"/>
        </w:rPr>
      </w:pPr>
    </w:p>
    <w:p w14:paraId="55F92A4A" w14:textId="77777777" w:rsidR="00F4414A" w:rsidRPr="006E211A" w:rsidRDefault="00F4414A" w:rsidP="00F4414A">
      <w:pPr>
        <w:jc w:val="both"/>
        <w:rPr>
          <w:lang w:val="et-EE"/>
        </w:rPr>
      </w:pPr>
      <w:r w:rsidRPr="006E211A">
        <w:rPr>
          <w:lang w:val="et-EE"/>
        </w:rPr>
        <w:t>Projekti</w:t>
      </w:r>
      <w:r>
        <w:rPr>
          <w:lang w:val="et-EE"/>
        </w:rPr>
        <w:t xml:space="preserve"> </w:t>
      </w:r>
      <w:r w:rsidRPr="006E211A">
        <w:rPr>
          <w:lang w:val="et-EE"/>
        </w:rPr>
        <w:t>”</w:t>
      </w:r>
      <w:r w:rsidRPr="00F4414A">
        <w:rPr>
          <w:lang w:val="et-EE"/>
        </w:rPr>
        <w:t>Narva Kesklinna Gümnaasiumi spordihoone energiatõhususe edendamine</w:t>
      </w:r>
      <w:r w:rsidR="00B4629A">
        <w:rPr>
          <w:lang w:val="et-EE"/>
        </w:rPr>
        <w:t>” teostaja määramine ning</w:t>
      </w:r>
      <w:r w:rsidRPr="006E211A">
        <w:rPr>
          <w:lang w:val="et-EE"/>
        </w:rPr>
        <w:t xml:space="preserve"> oma</w:t>
      </w:r>
      <w:r w:rsidR="00B4629A">
        <w:rPr>
          <w:lang w:val="et-EE"/>
        </w:rPr>
        <w:t>- ja sild</w:t>
      </w:r>
      <w:r w:rsidRPr="006E211A">
        <w:rPr>
          <w:lang w:val="et-EE"/>
        </w:rPr>
        <w:t>finantseeringu kinnitamine</w:t>
      </w:r>
    </w:p>
    <w:p w14:paraId="52D832A5" w14:textId="77777777" w:rsidR="00F4414A" w:rsidRPr="006E211A" w:rsidRDefault="00F4414A" w:rsidP="00F4414A">
      <w:pPr>
        <w:jc w:val="both"/>
        <w:rPr>
          <w:bCs/>
          <w:lang w:val="et-EE"/>
        </w:rPr>
      </w:pPr>
    </w:p>
    <w:p w14:paraId="4B1BD502" w14:textId="77777777" w:rsidR="00F4414A" w:rsidRPr="006E211A" w:rsidRDefault="00F4414A" w:rsidP="00F4414A">
      <w:pPr>
        <w:numPr>
          <w:ilvl w:val="0"/>
          <w:numId w:val="1"/>
        </w:numPr>
        <w:ind w:left="0" w:firstLine="0"/>
        <w:jc w:val="both"/>
        <w:rPr>
          <w:lang w:val="et-EE"/>
        </w:rPr>
      </w:pPr>
      <w:r w:rsidRPr="006E211A">
        <w:rPr>
          <w:b/>
          <w:bCs/>
          <w:lang w:val="et-EE"/>
        </w:rPr>
        <w:t>ASJAOLUD JA MENETLUSE KÄIK</w:t>
      </w:r>
    </w:p>
    <w:p w14:paraId="05C78B3E" w14:textId="77777777" w:rsidR="00F4414A" w:rsidRPr="006E211A" w:rsidRDefault="00F4414A" w:rsidP="00F4414A">
      <w:pPr>
        <w:jc w:val="both"/>
        <w:rPr>
          <w:lang w:val="et-EE"/>
        </w:rPr>
      </w:pPr>
    </w:p>
    <w:p w14:paraId="53357103" w14:textId="77777777" w:rsidR="00F4414A" w:rsidRPr="006E211A" w:rsidRDefault="00F4414A" w:rsidP="00F4414A">
      <w:pPr>
        <w:jc w:val="both"/>
        <w:rPr>
          <w:lang w:val="et-EE"/>
        </w:rPr>
      </w:pPr>
    </w:p>
    <w:p w14:paraId="443D4F5D" w14:textId="36CCBC78" w:rsidR="00F4414A" w:rsidRDefault="00F4414A" w:rsidP="00B4629A">
      <w:pPr>
        <w:jc w:val="both"/>
        <w:rPr>
          <w:lang w:val="et-EE"/>
        </w:rPr>
      </w:pPr>
      <w:r>
        <w:rPr>
          <w:lang w:val="et-EE"/>
        </w:rPr>
        <w:t xml:space="preserve">Narva Linna Arenduse ja Ökonoomika Amet </w:t>
      </w:r>
      <w:r w:rsidR="00B4629A">
        <w:rPr>
          <w:lang w:val="et-EE"/>
        </w:rPr>
        <w:t xml:space="preserve">koostöös </w:t>
      </w:r>
      <w:r w:rsidR="001D23F4">
        <w:rPr>
          <w:lang w:val="et-EE"/>
        </w:rPr>
        <w:t xml:space="preserve">Narva Linnavalitsuse Kultuuriosakonna ja Narva Linnavalitsuse Linnamajandusametiga </w:t>
      </w:r>
      <w:r>
        <w:rPr>
          <w:lang w:val="et-EE"/>
        </w:rPr>
        <w:t xml:space="preserve">valmistab ette projekti </w:t>
      </w:r>
      <w:r w:rsidRPr="006E211A">
        <w:rPr>
          <w:lang w:val="et-EE"/>
        </w:rPr>
        <w:t>”</w:t>
      </w:r>
      <w:r w:rsidRPr="00F4414A">
        <w:rPr>
          <w:lang w:val="et-EE"/>
        </w:rPr>
        <w:t>Narva Kesklinna Gümnaasiumi spordihoone energiatõhususe edendamine</w:t>
      </w:r>
      <w:r>
        <w:rPr>
          <w:lang w:val="et-EE"/>
        </w:rPr>
        <w:t xml:space="preserve">” selle järgnevaks esitamiseks </w:t>
      </w:r>
      <w:r w:rsidRPr="005F417E">
        <w:rPr>
          <w:lang w:val="et-EE"/>
        </w:rPr>
        <w:t>„Riigi eelarvestrateegia 2020–2023” meetme „Energiatõhususe ja taastuvenergia kasutuse edendamine avaliku sektori hoonetes”</w:t>
      </w:r>
      <w:r>
        <w:rPr>
          <w:lang w:val="et-EE"/>
        </w:rPr>
        <w:t xml:space="preserve"> I vooru. </w:t>
      </w:r>
      <w:r w:rsidRPr="005F417E">
        <w:rPr>
          <w:lang w:val="et-EE"/>
        </w:rPr>
        <w:t>Meetme raames toetatakse väliskeskkonnast katuse ja teiste välispiiretega eraldatud siseruumiga ehitisse</w:t>
      </w:r>
      <w:r>
        <w:rPr>
          <w:lang w:val="et-EE"/>
        </w:rPr>
        <w:t xml:space="preserve"> </w:t>
      </w:r>
      <w:r w:rsidRPr="005F417E">
        <w:rPr>
          <w:lang w:val="et-EE"/>
        </w:rPr>
        <w:t>tarnitud energiat, hoone ülalpidamiskulusid ja kasvuhoonegaaside heidet vähendavaid ning energiasäästu suurendavaid ja taastuvenergia kasutust edendavaid rekonstrueerimistöid</w:t>
      </w:r>
      <w:r>
        <w:rPr>
          <w:lang w:val="et-EE"/>
        </w:rPr>
        <w:t>.</w:t>
      </w:r>
    </w:p>
    <w:p w14:paraId="7F1A835D" w14:textId="77777777" w:rsidR="00F4414A" w:rsidRDefault="00F4414A" w:rsidP="00F4414A">
      <w:pPr>
        <w:jc w:val="both"/>
        <w:rPr>
          <w:lang w:val="et-EE"/>
        </w:rPr>
      </w:pPr>
    </w:p>
    <w:p w14:paraId="372E8C29" w14:textId="77777777" w:rsidR="00F4414A" w:rsidRDefault="00F4414A" w:rsidP="00F4414A">
      <w:pPr>
        <w:jc w:val="both"/>
        <w:rPr>
          <w:lang w:val="et-EE"/>
        </w:rPr>
      </w:pPr>
      <w:r w:rsidRPr="006E211A">
        <w:rPr>
          <w:lang w:val="et-EE"/>
        </w:rPr>
        <w:t xml:space="preserve">Taotluse projekti rahastamiseks tuleb esitada hiljemalt </w:t>
      </w:r>
      <w:r>
        <w:rPr>
          <w:bCs/>
          <w:lang w:val="et-EE"/>
        </w:rPr>
        <w:t>17. juuniks 2020</w:t>
      </w:r>
      <w:r w:rsidRPr="006E211A">
        <w:rPr>
          <w:lang w:val="et-EE"/>
        </w:rPr>
        <w:t>.</w:t>
      </w:r>
    </w:p>
    <w:p w14:paraId="0FC3C0A9" w14:textId="77777777" w:rsidR="00F4414A" w:rsidRDefault="00F4414A" w:rsidP="00F4414A">
      <w:pPr>
        <w:jc w:val="both"/>
        <w:rPr>
          <w:lang w:val="et-EE"/>
        </w:rPr>
      </w:pPr>
    </w:p>
    <w:p w14:paraId="63C2DCF9" w14:textId="77777777" w:rsidR="00F4414A" w:rsidRDefault="00F4414A" w:rsidP="00F4414A">
      <w:pPr>
        <w:jc w:val="both"/>
        <w:rPr>
          <w:lang w:val="et-EE"/>
        </w:rPr>
      </w:pPr>
      <w:r>
        <w:rPr>
          <w:lang w:val="et-EE"/>
        </w:rPr>
        <w:t xml:space="preserve">Projekti </w:t>
      </w:r>
      <w:r w:rsidRPr="006E211A">
        <w:rPr>
          <w:lang w:val="et-EE"/>
        </w:rPr>
        <w:t>”</w:t>
      </w:r>
      <w:r w:rsidRPr="00F4414A">
        <w:rPr>
          <w:lang w:val="et-EE"/>
        </w:rPr>
        <w:t>Narva Kesklinna Gümnaasiumi spordihoone energiatõhususe edendamine</w:t>
      </w:r>
      <w:r w:rsidRPr="005F417E">
        <w:rPr>
          <w:lang w:val="et-EE"/>
        </w:rPr>
        <w:t>” eesmärgiks</w:t>
      </w:r>
      <w:r>
        <w:rPr>
          <w:lang w:val="et-EE"/>
        </w:rPr>
        <w:t xml:space="preserve"> on </w:t>
      </w:r>
      <w:r w:rsidRPr="00A420C3">
        <w:rPr>
          <w:lang w:val="et-EE"/>
        </w:rPr>
        <w:t xml:space="preserve">Narva </w:t>
      </w:r>
      <w:r>
        <w:rPr>
          <w:lang w:val="et-EE"/>
        </w:rPr>
        <w:t xml:space="preserve">Kesklinna Gümnaasiumi spordihoone aadressil Puškini tn 29 </w:t>
      </w:r>
      <w:r w:rsidRPr="005F417E">
        <w:rPr>
          <w:lang w:val="et-EE"/>
        </w:rPr>
        <w:t>energiatõhususe parandamine, kasvuhoonegaaside heite vähendamine, hoonesse tarnitud energia ja hoone ülalpidamiskulude vähendamine ning taastuvenergia kasutuse edendamine</w:t>
      </w:r>
      <w:r>
        <w:rPr>
          <w:lang w:val="et-EE"/>
        </w:rPr>
        <w:t xml:space="preserve"> spordi</w:t>
      </w:r>
      <w:r w:rsidRPr="005F417E">
        <w:rPr>
          <w:lang w:val="et-EE"/>
        </w:rPr>
        <w:t xml:space="preserve">hoone </w:t>
      </w:r>
      <w:r>
        <w:rPr>
          <w:lang w:val="et-EE"/>
        </w:rPr>
        <w:t>rekonstrueerimise</w:t>
      </w:r>
      <w:r w:rsidRPr="005F417E">
        <w:rPr>
          <w:lang w:val="et-EE"/>
        </w:rPr>
        <w:t xml:space="preserve"> kaudu.</w:t>
      </w:r>
    </w:p>
    <w:p w14:paraId="45A42488" w14:textId="77777777" w:rsidR="00F4414A" w:rsidRPr="006E211A" w:rsidRDefault="00F4414A" w:rsidP="00F4414A">
      <w:pPr>
        <w:jc w:val="both"/>
        <w:rPr>
          <w:lang w:val="et-EE"/>
        </w:rPr>
      </w:pPr>
    </w:p>
    <w:p w14:paraId="451A5AB6" w14:textId="77777777" w:rsidR="00F4414A" w:rsidRDefault="00F4414A" w:rsidP="00F4414A">
      <w:pPr>
        <w:jc w:val="both"/>
        <w:rPr>
          <w:lang w:val="et-EE"/>
        </w:rPr>
      </w:pPr>
      <w:r>
        <w:rPr>
          <w:lang w:val="et-EE"/>
        </w:rPr>
        <w:t>Tulenevalt määrusest „</w:t>
      </w:r>
      <w:r w:rsidRPr="001B5F31">
        <w:rPr>
          <w:lang w:val="et-EE"/>
        </w:rPr>
        <w:t>Kohaliku omavalitsuse hoonete energiatõhusaks muutmiseks antava toetuse kasutamise tingimused ja kord</w:t>
      </w:r>
      <w:r>
        <w:rPr>
          <w:lang w:val="et-EE"/>
        </w:rPr>
        <w:t>“ (edaspidi määrus) t</w:t>
      </w:r>
      <w:r w:rsidRPr="005F417E">
        <w:rPr>
          <w:lang w:val="et-EE"/>
        </w:rPr>
        <w:t xml:space="preserve">oetuse määr sõltub kohaliku omavalitsuse üksuse põhitegevuse tuludest ja kohaliku omavalitsuse elanike arvust ning on </w:t>
      </w:r>
      <w:r>
        <w:rPr>
          <w:lang w:val="et-EE"/>
        </w:rPr>
        <w:t xml:space="preserve">Narva linna jaoks 70% </w:t>
      </w:r>
      <w:r w:rsidRPr="005F417E">
        <w:rPr>
          <w:lang w:val="et-EE"/>
        </w:rPr>
        <w:t xml:space="preserve">projekti abikõlblikest kuludest vastavalt määruse lisale </w:t>
      </w:r>
      <w:r>
        <w:rPr>
          <w:lang w:val="et-EE"/>
        </w:rPr>
        <w:t xml:space="preserve">1. </w:t>
      </w:r>
    </w:p>
    <w:p w14:paraId="1F16C1C6" w14:textId="77777777" w:rsidR="00F4414A" w:rsidRDefault="00F4414A" w:rsidP="00F4414A">
      <w:pPr>
        <w:jc w:val="both"/>
        <w:rPr>
          <w:lang w:val="et-EE"/>
        </w:rPr>
      </w:pPr>
    </w:p>
    <w:p w14:paraId="4714919C" w14:textId="77777777" w:rsidR="00F4414A" w:rsidRDefault="00F4414A" w:rsidP="00F4414A">
      <w:pPr>
        <w:jc w:val="both"/>
        <w:rPr>
          <w:lang w:val="et-EE"/>
        </w:rPr>
      </w:pPr>
      <w:r>
        <w:rPr>
          <w:lang w:val="et-EE"/>
        </w:rPr>
        <w:t>Toetuse arvutamise metoodika on järgmine:</w:t>
      </w:r>
    </w:p>
    <w:p w14:paraId="7B22EEDA" w14:textId="77777777" w:rsidR="00F4414A" w:rsidRDefault="00F4414A" w:rsidP="00F4414A">
      <w:pPr>
        <w:jc w:val="both"/>
        <w:rPr>
          <w:lang w:val="et-EE"/>
        </w:rPr>
      </w:pPr>
    </w:p>
    <w:p w14:paraId="06321197" w14:textId="77777777" w:rsidR="00F4414A" w:rsidRPr="008A2BB2" w:rsidRDefault="00F4414A" w:rsidP="00F4414A">
      <w:pPr>
        <w:jc w:val="both"/>
        <w:rPr>
          <w:lang w:val="et-EE"/>
        </w:rPr>
      </w:pPr>
      <w:r>
        <w:rPr>
          <w:lang w:val="et-EE"/>
        </w:rPr>
        <w:t>M</w:t>
      </w:r>
      <w:r w:rsidRPr="001B5F31">
        <w:rPr>
          <w:lang w:val="et-EE"/>
        </w:rPr>
        <w:t>aksimaalne toetuse suurus vastavalt määruse lisas 1 sätestatud toetusmäärale on 360–630 eurot rekonstrueeritava hoone abikõlbliku köetava netopinna ühe ruutmeetri kohta, mis arvutatakse valemi, 900 eurot × individuaalne toetusmäär</w:t>
      </w:r>
      <w:r>
        <w:rPr>
          <w:lang w:val="et-EE"/>
        </w:rPr>
        <w:t xml:space="preserve"> ehk 900*70%=630 eurot/m</w:t>
      </w:r>
      <w:r>
        <w:rPr>
          <w:vertAlign w:val="superscript"/>
          <w:lang w:val="et-EE"/>
        </w:rPr>
        <w:t>2</w:t>
      </w:r>
      <w:r>
        <w:rPr>
          <w:lang w:val="et-EE"/>
        </w:rPr>
        <w:t xml:space="preserve">. </w:t>
      </w:r>
    </w:p>
    <w:p w14:paraId="49D99304" w14:textId="77777777" w:rsidR="00F4414A" w:rsidRDefault="00F4414A" w:rsidP="00F4414A">
      <w:pPr>
        <w:jc w:val="both"/>
        <w:rPr>
          <w:lang w:val="et-EE"/>
        </w:rPr>
      </w:pPr>
    </w:p>
    <w:p w14:paraId="3AE9CD08" w14:textId="77777777" w:rsidR="00F4414A" w:rsidRDefault="00F4414A" w:rsidP="00F4414A">
      <w:pPr>
        <w:jc w:val="both"/>
        <w:rPr>
          <w:lang w:val="et-EE"/>
        </w:rPr>
      </w:pPr>
      <w:r w:rsidRPr="00F4414A">
        <w:rPr>
          <w:lang w:val="et-EE"/>
        </w:rPr>
        <w:t xml:space="preserve">Kesklinna Gümnaasiumi spordihoone </w:t>
      </w:r>
      <w:r>
        <w:rPr>
          <w:lang w:val="et-EE"/>
        </w:rPr>
        <w:t>netopind võrdub 434,1 m</w:t>
      </w:r>
      <w:r>
        <w:rPr>
          <w:vertAlign w:val="superscript"/>
          <w:lang w:val="et-EE"/>
        </w:rPr>
        <w:t>2</w:t>
      </w:r>
      <w:r>
        <w:rPr>
          <w:lang w:val="et-EE"/>
        </w:rPr>
        <w:t xml:space="preserve">, seega maksimaalne toetuse suurus on 434,1*630 = 273 483 eurot. Narva linna abikõlblik omafinantseering peab moodustama 30% abikõlblikest kuludest ehk 117 207 eurot. </w:t>
      </w:r>
    </w:p>
    <w:p w14:paraId="366B77CF" w14:textId="77777777" w:rsidR="00F4414A" w:rsidRDefault="00F4414A" w:rsidP="00F4414A">
      <w:pPr>
        <w:jc w:val="both"/>
        <w:rPr>
          <w:lang w:val="et-EE"/>
        </w:rPr>
      </w:pPr>
      <w:r>
        <w:rPr>
          <w:lang w:val="et-EE"/>
        </w:rPr>
        <w:t xml:space="preserve">Projekti abikõlblikud kulud moodustavad kokku 390 690 eurot. </w:t>
      </w:r>
    </w:p>
    <w:p w14:paraId="53E01A1D" w14:textId="77777777" w:rsidR="00F4414A" w:rsidRDefault="00F4414A" w:rsidP="00F4414A">
      <w:pPr>
        <w:jc w:val="both"/>
        <w:rPr>
          <w:lang w:val="et-EE"/>
        </w:rPr>
      </w:pPr>
    </w:p>
    <w:p w14:paraId="5756A32D" w14:textId="2B33A4B8" w:rsidR="00F4414A" w:rsidRDefault="00F4414A" w:rsidP="00F4414A">
      <w:pPr>
        <w:jc w:val="both"/>
        <w:rPr>
          <w:lang w:val="et-EE"/>
        </w:rPr>
      </w:pPr>
      <w:r>
        <w:rPr>
          <w:lang w:val="et-EE"/>
        </w:rPr>
        <w:lastRenderedPageBreak/>
        <w:t xml:space="preserve">Projekti elluviimiseks tuleb lisaks arvestada projekti eelarveväliste kuludega </w:t>
      </w:r>
      <w:r w:rsidR="00B4629A" w:rsidRPr="00B4629A">
        <w:rPr>
          <w:lang w:val="et-EE"/>
        </w:rPr>
        <w:t xml:space="preserve">(sh osa ehitustöödest, projekteerimistööde ekspertiisi kulud jne) </w:t>
      </w:r>
      <w:r>
        <w:rPr>
          <w:lang w:val="et-EE"/>
        </w:rPr>
        <w:t>summas kuni</w:t>
      </w:r>
      <w:r w:rsidR="00447E67">
        <w:rPr>
          <w:lang w:val="et-EE"/>
        </w:rPr>
        <w:t xml:space="preserve"> 150 000</w:t>
      </w:r>
      <w:r>
        <w:rPr>
          <w:lang w:val="et-EE"/>
        </w:rPr>
        <w:t xml:space="preserve"> eurot.  Seega projekti omafinantseerimise vajadus kokku moodustab kuni </w:t>
      </w:r>
      <w:r w:rsidR="00447E67">
        <w:rPr>
          <w:lang w:val="et-EE"/>
        </w:rPr>
        <w:t>267 207</w:t>
      </w:r>
      <w:r>
        <w:rPr>
          <w:lang w:val="et-EE"/>
        </w:rPr>
        <w:t xml:space="preserve"> eurot. </w:t>
      </w:r>
    </w:p>
    <w:p w14:paraId="31BECA9E" w14:textId="77777777" w:rsidR="00F4414A" w:rsidRDefault="00F4414A" w:rsidP="00F4414A">
      <w:pPr>
        <w:jc w:val="both"/>
        <w:rPr>
          <w:lang w:val="et-EE"/>
        </w:rPr>
      </w:pPr>
    </w:p>
    <w:p w14:paraId="7F6FDDFF" w14:textId="77777777" w:rsidR="00F4414A" w:rsidRDefault="00F4414A" w:rsidP="00F4414A">
      <w:pPr>
        <w:jc w:val="both"/>
        <w:rPr>
          <w:lang w:val="et-EE"/>
        </w:rPr>
      </w:pPr>
      <w:r w:rsidRPr="006E211A">
        <w:rPr>
          <w:lang w:val="et-EE"/>
        </w:rPr>
        <w:t xml:space="preserve">Projekti tegevused on planeeritud ellu viia </w:t>
      </w:r>
      <w:r w:rsidR="00B4629A">
        <w:rPr>
          <w:lang w:val="et-EE"/>
        </w:rPr>
        <w:t>2021-2022</w:t>
      </w:r>
      <w:r w:rsidRPr="009E53AE">
        <w:rPr>
          <w:lang w:val="et-EE"/>
        </w:rPr>
        <w:t xml:space="preserve"> aastate jooksul.</w:t>
      </w:r>
      <w:r w:rsidRPr="006E211A">
        <w:rPr>
          <w:lang w:val="et-EE"/>
        </w:rPr>
        <w:t xml:space="preserve"> </w:t>
      </w:r>
    </w:p>
    <w:p w14:paraId="01A46E3C" w14:textId="77777777" w:rsidR="00F4414A" w:rsidRDefault="00F4414A" w:rsidP="00F4414A">
      <w:pPr>
        <w:jc w:val="both"/>
        <w:rPr>
          <w:lang w:val="et-EE"/>
        </w:rPr>
      </w:pPr>
    </w:p>
    <w:p w14:paraId="1C25AB2C" w14:textId="77777777" w:rsidR="00F4414A" w:rsidRDefault="00F4414A" w:rsidP="00F4414A">
      <w:pPr>
        <w:jc w:val="both"/>
        <w:rPr>
          <w:lang w:val="et-EE"/>
        </w:rPr>
      </w:pPr>
      <w:r>
        <w:rPr>
          <w:lang w:val="et-EE"/>
        </w:rPr>
        <w:t>Projekti „</w:t>
      </w:r>
      <w:r w:rsidRPr="00F4414A">
        <w:rPr>
          <w:lang w:val="et-EE"/>
        </w:rPr>
        <w:t>Narva Kesklinna Gümnaasiumi spordihoone energiatõhususe edendamine</w:t>
      </w:r>
      <w:r>
        <w:rPr>
          <w:lang w:val="et-EE"/>
        </w:rPr>
        <w:t>“ eeldatav oma- ja sildfinantseerimise vajadus aastate kaupa on järgmine (</w:t>
      </w:r>
      <w:r w:rsidRPr="007134BF">
        <w:rPr>
          <w:i/>
          <w:lang w:val="et-EE"/>
        </w:rPr>
        <w:t>juhul, kui aasta lõpus jäävad kasutamata vahendid viiakse see üle järgmisele aastale</w:t>
      </w:r>
      <w:r>
        <w:rPr>
          <w:lang w:val="et-EE"/>
        </w:rPr>
        <w:t>):</w:t>
      </w:r>
    </w:p>
    <w:p w14:paraId="6C247360" w14:textId="77777777" w:rsidR="00F4414A" w:rsidRPr="006E211A" w:rsidRDefault="00F4414A" w:rsidP="00F4414A">
      <w:pPr>
        <w:jc w:val="both"/>
        <w:rPr>
          <w:lang w:val="et-E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2149"/>
        <w:gridCol w:w="2139"/>
      </w:tblGrid>
      <w:tr w:rsidR="00F4414A" w:rsidRPr="008770F3" w14:paraId="1F1485E8" w14:textId="77777777" w:rsidTr="00E4720B">
        <w:trPr>
          <w:jc w:val="center"/>
        </w:trPr>
        <w:tc>
          <w:tcPr>
            <w:tcW w:w="3038" w:type="dxa"/>
            <w:shd w:val="clear" w:color="auto" w:fill="auto"/>
          </w:tcPr>
          <w:p w14:paraId="4D6B1EA6" w14:textId="77777777" w:rsidR="00F4414A" w:rsidRPr="008770F3" w:rsidRDefault="00F4414A" w:rsidP="00E4720B">
            <w:pPr>
              <w:jc w:val="center"/>
              <w:rPr>
                <w:lang w:val="et-EE"/>
              </w:rPr>
            </w:pPr>
          </w:p>
        </w:tc>
        <w:tc>
          <w:tcPr>
            <w:tcW w:w="2149" w:type="dxa"/>
            <w:shd w:val="clear" w:color="auto" w:fill="auto"/>
          </w:tcPr>
          <w:p w14:paraId="2183B6C6" w14:textId="77777777" w:rsidR="00F4414A" w:rsidRPr="00010050" w:rsidRDefault="00B4629A" w:rsidP="00E4720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2021</w:t>
            </w:r>
          </w:p>
        </w:tc>
        <w:tc>
          <w:tcPr>
            <w:tcW w:w="2139" w:type="dxa"/>
          </w:tcPr>
          <w:p w14:paraId="5507960E" w14:textId="77777777" w:rsidR="00F4414A" w:rsidRPr="00010050" w:rsidRDefault="00B4629A" w:rsidP="00E4720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2022</w:t>
            </w:r>
          </w:p>
        </w:tc>
      </w:tr>
      <w:tr w:rsidR="00F4414A" w:rsidRPr="008770F3" w14:paraId="45824A60" w14:textId="77777777" w:rsidTr="00E4720B">
        <w:trPr>
          <w:jc w:val="center"/>
        </w:trPr>
        <w:tc>
          <w:tcPr>
            <w:tcW w:w="3038" w:type="dxa"/>
            <w:shd w:val="clear" w:color="auto" w:fill="auto"/>
          </w:tcPr>
          <w:p w14:paraId="7161E18E" w14:textId="77777777" w:rsidR="00F4414A" w:rsidRPr="008770F3" w:rsidRDefault="00F4414A" w:rsidP="00E4720B">
            <w:pPr>
              <w:jc w:val="center"/>
              <w:rPr>
                <w:lang w:val="et-EE"/>
              </w:rPr>
            </w:pPr>
            <w:r w:rsidRPr="008770F3">
              <w:rPr>
                <w:lang w:val="et-EE"/>
              </w:rPr>
              <w:t>omafinantseerimine</w:t>
            </w:r>
          </w:p>
        </w:tc>
        <w:tc>
          <w:tcPr>
            <w:tcW w:w="2149" w:type="dxa"/>
            <w:shd w:val="clear" w:color="auto" w:fill="auto"/>
          </w:tcPr>
          <w:p w14:paraId="53170157" w14:textId="01803625" w:rsidR="00F4414A" w:rsidRPr="00A05726" w:rsidRDefault="00447E67" w:rsidP="00E4720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26 711</w:t>
            </w:r>
          </w:p>
        </w:tc>
        <w:tc>
          <w:tcPr>
            <w:tcW w:w="2139" w:type="dxa"/>
          </w:tcPr>
          <w:p w14:paraId="349B5114" w14:textId="431D311C" w:rsidR="00F4414A" w:rsidRPr="00A05726" w:rsidRDefault="00447E67" w:rsidP="00E4720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240 496</w:t>
            </w:r>
          </w:p>
        </w:tc>
      </w:tr>
      <w:tr w:rsidR="00F4414A" w:rsidRPr="008770F3" w14:paraId="1C945BDA" w14:textId="77777777" w:rsidTr="00E4720B">
        <w:trPr>
          <w:jc w:val="center"/>
        </w:trPr>
        <w:tc>
          <w:tcPr>
            <w:tcW w:w="3038" w:type="dxa"/>
            <w:shd w:val="clear" w:color="auto" w:fill="auto"/>
          </w:tcPr>
          <w:p w14:paraId="326C241C" w14:textId="77777777" w:rsidR="00F4414A" w:rsidRPr="008770F3" w:rsidRDefault="00F4414A" w:rsidP="00E4720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sildfinantseerimine</w:t>
            </w:r>
          </w:p>
        </w:tc>
        <w:tc>
          <w:tcPr>
            <w:tcW w:w="2149" w:type="dxa"/>
            <w:shd w:val="clear" w:color="auto" w:fill="auto"/>
          </w:tcPr>
          <w:p w14:paraId="79B21AD6" w14:textId="2EA9CCA9" w:rsidR="00F4414A" w:rsidRPr="00A05726" w:rsidRDefault="00447E67" w:rsidP="00E4720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27 348</w:t>
            </w:r>
          </w:p>
        </w:tc>
        <w:tc>
          <w:tcPr>
            <w:tcW w:w="2139" w:type="dxa"/>
          </w:tcPr>
          <w:p w14:paraId="40BC8DAF" w14:textId="51F1C99D" w:rsidR="00F4414A" w:rsidRPr="00A05726" w:rsidRDefault="00447E67" w:rsidP="00E4720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246 135</w:t>
            </w:r>
          </w:p>
        </w:tc>
      </w:tr>
    </w:tbl>
    <w:p w14:paraId="0294758B" w14:textId="77777777" w:rsidR="00F4414A" w:rsidRDefault="00F4414A" w:rsidP="00F4414A">
      <w:pPr>
        <w:jc w:val="both"/>
        <w:rPr>
          <w:lang w:val="et-EE"/>
        </w:rPr>
      </w:pPr>
    </w:p>
    <w:p w14:paraId="146E0394" w14:textId="77777777" w:rsidR="00F4414A" w:rsidRDefault="00B4629A" w:rsidP="00F4414A">
      <w:pPr>
        <w:jc w:val="both"/>
        <w:rPr>
          <w:lang w:val="et-EE"/>
        </w:rPr>
      </w:pPr>
      <w:r>
        <w:rPr>
          <w:lang w:val="et-EE"/>
        </w:rPr>
        <w:t>O</w:t>
      </w:r>
      <w:r w:rsidR="00F4414A">
        <w:rPr>
          <w:lang w:val="et-EE"/>
        </w:rPr>
        <w:t>ma</w:t>
      </w:r>
      <w:r>
        <w:rPr>
          <w:lang w:val="et-EE"/>
        </w:rPr>
        <w:t>- ja sild</w:t>
      </w:r>
      <w:r w:rsidR="00F4414A">
        <w:rPr>
          <w:lang w:val="et-EE"/>
        </w:rPr>
        <w:t xml:space="preserve">finantseerimise tegelik vajadus aastate lõikes täpsustatakse Narva linna arengukavas, sh tegevuskavas vastavalt </w:t>
      </w:r>
      <w:r w:rsidR="00F4414A" w:rsidRPr="002D7B5E">
        <w:rPr>
          <w:lang w:val="et-EE"/>
        </w:rPr>
        <w:t>KOKS §37</w:t>
      </w:r>
      <w:r w:rsidR="00F4414A" w:rsidRPr="002D7B5E">
        <w:rPr>
          <w:vertAlign w:val="superscript"/>
          <w:lang w:val="et-EE"/>
        </w:rPr>
        <w:t xml:space="preserve">1 </w:t>
      </w:r>
      <w:r w:rsidR="00F4414A" w:rsidRPr="002D7B5E">
        <w:rPr>
          <w:lang w:val="et-EE"/>
        </w:rPr>
        <w:t>lg-le 2</w:t>
      </w:r>
      <w:r w:rsidR="00F4414A">
        <w:rPr>
          <w:lang w:val="et-EE"/>
        </w:rPr>
        <w:t xml:space="preserve"> „Arengukava ja eelarvestrateegia on aluseks kohaliku omavalitsuse üksuse eelarve koostamisel, kohustuste võtmisel, varaga tehingute tegemisel, investeeringute kohandamisel ning investeeringuteks toetuse taotlemisel“.</w:t>
      </w:r>
    </w:p>
    <w:p w14:paraId="5B8C1371" w14:textId="77777777" w:rsidR="00F4414A" w:rsidRDefault="00F4414A" w:rsidP="00F4414A">
      <w:pPr>
        <w:pStyle w:val="BodyText"/>
        <w:rPr>
          <w:color w:val="auto"/>
          <w:sz w:val="24"/>
        </w:rPr>
      </w:pPr>
    </w:p>
    <w:p w14:paraId="27D2BC41" w14:textId="77777777" w:rsidR="00F4414A" w:rsidRPr="0026168B" w:rsidRDefault="00F4414A" w:rsidP="00F4414A">
      <w:pPr>
        <w:pStyle w:val="BodyText"/>
        <w:rPr>
          <w:color w:val="auto"/>
          <w:sz w:val="24"/>
        </w:rPr>
      </w:pPr>
      <w:r w:rsidRPr="0026168B">
        <w:rPr>
          <w:color w:val="auto"/>
          <w:sz w:val="24"/>
        </w:rPr>
        <w:t>Projekt on vastavuses strateegiliste dokumentidega:</w:t>
      </w:r>
    </w:p>
    <w:p w14:paraId="5A8CDA29" w14:textId="77777777" w:rsidR="00F4414A" w:rsidRPr="0026168B" w:rsidRDefault="00F4414A" w:rsidP="00F4414A">
      <w:pPr>
        <w:pStyle w:val="BodyText"/>
        <w:rPr>
          <w:color w:val="auto"/>
          <w:sz w:val="24"/>
          <w:u w:val="single"/>
        </w:rPr>
      </w:pPr>
      <w:r w:rsidRPr="0026168B">
        <w:rPr>
          <w:color w:val="auto"/>
          <w:sz w:val="24"/>
          <w:u w:val="single"/>
        </w:rPr>
        <w:t>1. Narva linna arengukavaga 2008-2023.</w:t>
      </w:r>
    </w:p>
    <w:p w14:paraId="689A3AD9" w14:textId="77777777" w:rsidR="00F4414A" w:rsidRPr="0026168B" w:rsidRDefault="00F4414A" w:rsidP="00F4414A">
      <w:pPr>
        <w:jc w:val="both"/>
        <w:rPr>
          <w:lang w:val="et-EE"/>
        </w:rPr>
      </w:pPr>
      <w:r w:rsidRPr="0026168B">
        <w:rPr>
          <w:bCs/>
          <w:u w:val="single"/>
          <w:lang w:val="et-EE"/>
        </w:rPr>
        <w:t xml:space="preserve">Strateegiline eesmärk </w:t>
      </w:r>
      <w:r w:rsidRPr="0026168B">
        <w:rPr>
          <w:lang w:val="et-EE"/>
        </w:rPr>
        <w:t>1.2: elukeskkonna infrastruktuur on parandatud</w:t>
      </w:r>
    </w:p>
    <w:p w14:paraId="7FD07C82" w14:textId="77777777" w:rsidR="00F4414A" w:rsidRPr="0026168B" w:rsidRDefault="00F4414A" w:rsidP="00F4414A">
      <w:pPr>
        <w:jc w:val="both"/>
        <w:rPr>
          <w:lang w:val="et-EE"/>
        </w:rPr>
      </w:pPr>
      <w:r w:rsidRPr="0026168B">
        <w:rPr>
          <w:lang w:val="et-EE"/>
        </w:rPr>
        <w:t>Tegevussuund 1.2.1: muuta linna territoorium heakorrastatuks ja meeldivaks</w:t>
      </w:r>
    </w:p>
    <w:p w14:paraId="7C4573B8" w14:textId="77777777" w:rsidR="00F4414A" w:rsidRPr="007732BF" w:rsidRDefault="00F4414A" w:rsidP="00F4414A">
      <w:pPr>
        <w:jc w:val="both"/>
        <w:rPr>
          <w:bCs/>
          <w:lang w:val="et-EE"/>
        </w:rPr>
      </w:pPr>
      <w:r w:rsidRPr="007732BF">
        <w:rPr>
          <w:bCs/>
          <w:lang w:val="et-EE"/>
        </w:rPr>
        <w:t>Ülesanded 1.2.2.1. spordikomplekside ja –rajatiste ehitamine ja</w:t>
      </w:r>
    </w:p>
    <w:p w14:paraId="0F755AA6" w14:textId="77777777" w:rsidR="00F4414A" w:rsidRDefault="00F4414A" w:rsidP="00F4414A">
      <w:pPr>
        <w:jc w:val="both"/>
        <w:rPr>
          <w:bCs/>
          <w:lang w:val="et-EE"/>
        </w:rPr>
      </w:pPr>
      <w:r w:rsidRPr="007732BF">
        <w:rPr>
          <w:bCs/>
          <w:lang w:val="et-EE"/>
        </w:rPr>
        <w:t>rekonstrueerimine</w:t>
      </w:r>
    </w:p>
    <w:p w14:paraId="24234F13" w14:textId="77777777" w:rsidR="00F4414A" w:rsidRDefault="00F4414A" w:rsidP="00F4414A">
      <w:pPr>
        <w:jc w:val="both"/>
        <w:rPr>
          <w:bCs/>
          <w:lang w:val="et-EE"/>
        </w:rPr>
      </w:pPr>
    </w:p>
    <w:p w14:paraId="799D4B4A" w14:textId="77777777" w:rsidR="00F4414A" w:rsidRPr="006E211A" w:rsidRDefault="00F4414A" w:rsidP="00F4414A">
      <w:pPr>
        <w:jc w:val="both"/>
        <w:rPr>
          <w:bCs/>
          <w:lang w:val="et-EE"/>
        </w:rPr>
      </w:pPr>
    </w:p>
    <w:p w14:paraId="225E4959" w14:textId="77777777" w:rsidR="00F4414A" w:rsidRPr="006E211A" w:rsidRDefault="00F4414A" w:rsidP="00F4414A">
      <w:pPr>
        <w:numPr>
          <w:ilvl w:val="0"/>
          <w:numId w:val="1"/>
        </w:numPr>
        <w:ind w:left="0" w:firstLine="0"/>
        <w:jc w:val="both"/>
        <w:rPr>
          <w:b/>
          <w:lang w:val="et-EE"/>
        </w:rPr>
      </w:pPr>
      <w:r w:rsidRPr="006E211A">
        <w:rPr>
          <w:b/>
          <w:lang w:val="et-EE"/>
        </w:rPr>
        <w:t xml:space="preserve">ÕIGUSLIKUD ALUSED </w:t>
      </w:r>
    </w:p>
    <w:p w14:paraId="1630B1BA" w14:textId="77777777" w:rsidR="00F4414A" w:rsidRPr="006E211A" w:rsidRDefault="00F4414A" w:rsidP="00F4414A">
      <w:pPr>
        <w:jc w:val="both"/>
        <w:rPr>
          <w:lang w:val="et-EE"/>
        </w:rPr>
      </w:pPr>
    </w:p>
    <w:p w14:paraId="651EF09A" w14:textId="77777777" w:rsidR="00F4414A" w:rsidRDefault="00F4414A" w:rsidP="00F4414A">
      <w:pPr>
        <w:numPr>
          <w:ilvl w:val="1"/>
          <w:numId w:val="1"/>
        </w:numPr>
        <w:ind w:hanging="720"/>
        <w:jc w:val="both"/>
        <w:rPr>
          <w:bCs/>
          <w:lang w:val="et-EE"/>
        </w:rPr>
      </w:pPr>
      <w:r>
        <w:rPr>
          <w:bCs/>
          <w:lang w:val="et-EE"/>
        </w:rPr>
        <w:t xml:space="preserve">Vastavalt KOKS </w:t>
      </w:r>
      <w:r w:rsidRPr="002D7B5E">
        <w:rPr>
          <w:bCs/>
          <w:lang w:val="et-EE"/>
        </w:rPr>
        <w:t xml:space="preserve">§ 22 </w:t>
      </w:r>
      <w:r>
        <w:rPr>
          <w:bCs/>
          <w:lang w:val="et-EE"/>
        </w:rPr>
        <w:t xml:space="preserve">lg 1 p-le 8 kuulub </w:t>
      </w:r>
      <w:r w:rsidRPr="002D7B5E">
        <w:rPr>
          <w:bCs/>
          <w:lang w:val="et-EE"/>
        </w:rPr>
        <w:t xml:space="preserve">volikogu ainupädevusse laenude </w:t>
      </w:r>
      <w:r>
        <w:rPr>
          <w:bCs/>
          <w:lang w:val="et-EE"/>
        </w:rPr>
        <w:t xml:space="preserve">võtmine, võlakirjade emiteerimine, kapitalirendi- ja faktooringukohustuste võtmine, kohustuste võtmine kontsessioonikokkulepete alusel, kohaliku omavalitsuse üksuse finantsjuhtimise seaduse </w:t>
      </w:r>
      <w:r w:rsidRPr="002D7B5E">
        <w:rPr>
          <w:bCs/>
          <w:lang w:val="et-EE"/>
        </w:rPr>
        <w:t>§</w:t>
      </w:r>
      <w:r>
        <w:rPr>
          <w:bCs/>
          <w:lang w:val="et-EE"/>
        </w:rPr>
        <w:t xml:space="preserve"> 34 lõikes 7 nimetatud rendikohustuste võtmine ning piirmäära kehtestamine rahavoogude juhtimiseks võetavale laenule.</w:t>
      </w:r>
    </w:p>
    <w:p w14:paraId="6F014173" w14:textId="77777777" w:rsidR="00F4414A" w:rsidRDefault="00F4414A" w:rsidP="00F4414A">
      <w:pPr>
        <w:numPr>
          <w:ilvl w:val="1"/>
          <w:numId w:val="1"/>
        </w:numPr>
        <w:ind w:hanging="720"/>
        <w:jc w:val="both"/>
        <w:rPr>
          <w:bCs/>
          <w:lang w:val="et-EE"/>
        </w:rPr>
      </w:pPr>
      <w:r>
        <w:rPr>
          <w:bCs/>
          <w:lang w:val="et-EE"/>
        </w:rPr>
        <w:t xml:space="preserve">Vastavalt KOKS </w:t>
      </w:r>
      <w:r w:rsidRPr="002D7B5E">
        <w:rPr>
          <w:bCs/>
          <w:lang w:val="et-EE"/>
        </w:rPr>
        <w:t>§</w:t>
      </w:r>
      <w:r>
        <w:rPr>
          <w:bCs/>
          <w:lang w:val="et-EE"/>
        </w:rPr>
        <w:t xml:space="preserve"> 37</w:t>
      </w:r>
      <w:r>
        <w:rPr>
          <w:bCs/>
          <w:vertAlign w:val="superscript"/>
          <w:lang w:val="et-EE"/>
        </w:rPr>
        <w:t xml:space="preserve">1 </w:t>
      </w:r>
      <w:r>
        <w:rPr>
          <w:bCs/>
          <w:lang w:val="et-EE"/>
        </w:rPr>
        <w:t xml:space="preserve">lõikele 2 on arengukava ja eelarvestrateegia aluseks kohaliku omavalitsuse üksuse eelarve koostamisel, kohustuste võtmisel, varaga tehingute tegemisel, investeeringute kavandamisel ning investeeringuteks toetuse taotlemisel. </w:t>
      </w:r>
    </w:p>
    <w:p w14:paraId="1E38BC22" w14:textId="77777777" w:rsidR="00F4414A" w:rsidRPr="006973EF" w:rsidRDefault="00F4414A" w:rsidP="00F4414A">
      <w:pPr>
        <w:jc w:val="both"/>
        <w:rPr>
          <w:bCs/>
          <w:lang w:val="et-EE"/>
        </w:rPr>
      </w:pPr>
    </w:p>
    <w:p w14:paraId="019638CD" w14:textId="77777777" w:rsidR="00F4414A" w:rsidRPr="006E211A" w:rsidRDefault="00F4414A" w:rsidP="00F4414A">
      <w:pPr>
        <w:ind w:left="720"/>
        <w:jc w:val="both"/>
        <w:rPr>
          <w:sz w:val="20"/>
          <w:lang w:val="et-EE"/>
        </w:rPr>
      </w:pPr>
    </w:p>
    <w:p w14:paraId="7B0DB8C8" w14:textId="77777777" w:rsidR="00F4414A" w:rsidRPr="006E211A" w:rsidRDefault="00F4414A" w:rsidP="00F4414A">
      <w:pPr>
        <w:numPr>
          <w:ilvl w:val="0"/>
          <w:numId w:val="1"/>
        </w:numPr>
        <w:ind w:left="0" w:firstLine="0"/>
        <w:jc w:val="both"/>
        <w:rPr>
          <w:b/>
          <w:lang w:val="et-EE"/>
        </w:rPr>
      </w:pPr>
      <w:r w:rsidRPr="006E211A">
        <w:rPr>
          <w:b/>
          <w:lang w:val="et-EE"/>
        </w:rPr>
        <w:t>OTSUS</w:t>
      </w:r>
    </w:p>
    <w:p w14:paraId="5876C638" w14:textId="77777777" w:rsidR="00F4414A" w:rsidRPr="006E211A" w:rsidRDefault="00F4414A" w:rsidP="00F4414A">
      <w:pPr>
        <w:jc w:val="both"/>
        <w:rPr>
          <w:lang w:val="et-EE"/>
        </w:rPr>
      </w:pPr>
    </w:p>
    <w:p w14:paraId="5F9F3792" w14:textId="5DF74858" w:rsidR="00F4414A" w:rsidRPr="006E211A" w:rsidRDefault="00F4414A" w:rsidP="00F4414A">
      <w:pPr>
        <w:numPr>
          <w:ilvl w:val="1"/>
          <w:numId w:val="1"/>
        </w:numPr>
        <w:ind w:hanging="720"/>
        <w:jc w:val="both"/>
        <w:rPr>
          <w:lang w:val="et-EE"/>
        </w:rPr>
      </w:pPr>
      <w:r w:rsidRPr="006E211A">
        <w:rPr>
          <w:lang w:val="et-EE"/>
        </w:rPr>
        <w:t>Kinnitada projekti ”</w:t>
      </w:r>
      <w:r w:rsidRPr="00F4414A">
        <w:rPr>
          <w:lang w:val="et-EE"/>
        </w:rPr>
        <w:t>Narva Kesklinna Gümnaasiumi spordihoone energiatõhususe edendamine</w:t>
      </w:r>
      <w:r>
        <w:rPr>
          <w:lang w:val="et-EE"/>
        </w:rPr>
        <w:t xml:space="preserve">” </w:t>
      </w:r>
      <w:r w:rsidRPr="006E211A">
        <w:rPr>
          <w:lang w:val="et-EE"/>
        </w:rPr>
        <w:t>omafinantseeringuks kokku</w:t>
      </w:r>
      <w:r>
        <w:rPr>
          <w:lang w:val="et-EE"/>
        </w:rPr>
        <w:t xml:space="preserve"> kuni </w:t>
      </w:r>
      <w:r w:rsidR="00447E67">
        <w:rPr>
          <w:lang w:val="et-EE"/>
        </w:rPr>
        <w:t>267 207</w:t>
      </w:r>
      <w:r>
        <w:rPr>
          <w:lang w:val="et-EE"/>
        </w:rPr>
        <w:t xml:space="preserve"> eurot.</w:t>
      </w:r>
    </w:p>
    <w:p w14:paraId="7A23C516" w14:textId="61325944" w:rsidR="00F4414A" w:rsidRDefault="00F4414A" w:rsidP="00F4414A">
      <w:pPr>
        <w:numPr>
          <w:ilvl w:val="1"/>
          <w:numId w:val="1"/>
        </w:numPr>
        <w:ind w:hanging="720"/>
        <w:jc w:val="both"/>
        <w:rPr>
          <w:lang w:val="et-EE"/>
        </w:rPr>
      </w:pPr>
      <w:r w:rsidRPr="006E211A">
        <w:rPr>
          <w:lang w:val="et-EE"/>
        </w:rPr>
        <w:t xml:space="preserve">Projekti positiivse rahastamisotsuse korral Narva Linnavalitsusel </w:t>
      </w:r>
      <w:r>
        <w:rPr>
          <w:lang w:val="et-EE"/>
        </w:rPr>
        <w:t xml:space="preserve">lubada võtta </w:t>
      </w:r>
      <w:r w:rsidRPr="006E211A">
        <w:rPr>
          <w:lang w:val="et-EE"/>
        </w:rPr>
        <w:t xml:space="preserve">laenu omafinantseeringu katteks kokku </w:t>
      </w:r>
      <w:r>
        <w:rPr>
          <w:lang w:val="et-EE"/>
        </w:rPr>
        <w:t xml:space="preserve">kuni </w:t>
      </w:r>
      <w:r w:rsidR="00447E67">
        <w:rPr>
          <w:lang w:val="et-EE"/>
        </w:rPr>
        <w:t>267 207</w:t>
      </w:r>
      <w:r>
        <w:rPr>
          <w:lang w:val="et-EE"/>
        </w:rPr>
        <w:t xml:space="preserve"> eurot.</w:t>
      </w:r>
    </w:p>
    <w:p w14:paraId="494CD028" w14:textId="77777777" w:rsidR="00F4414A" w:rsidRPr="0026168B" w:rsidRDefault="00F4414A" w:rsidP="00F4414A">
      <w:pPr>
        <w:numPr>
          <w:ilvl w:val="1"/>
          <w:numId w:val="1"/>
        </w:numPr>
        <w:ind w:hanging="720"/>
        <w:jc w:val="both"/>
        <w:rPr>
          <w:lang w:val="et-EE"/>
        </w:rPr>
      </w:pPr>
      <w:r w:rsidRPr="006E211A">
        <w:rPr>
          <w:lang w:val="et-EE"/>
        </w:rPr>
        <w:t xml:space="preserve">Projekti positiivse rahastamisotsuse korral Narva Linnavalitsusel </w:t>
      </w:r>
      <w:r>
        <w:rPr>
          <w:lang w:val="et-EE"/>
        </w:rPr>
        <w:t xml:space="preserve">lubada võtta </w:t>
      </w:r>
      <w:r w:rsidRPr="006E211A">
        <w:rPr>
          <w:lang w:val="et-EE"/>
        </w:rPr>
        <w:t xml:space="preserve">laenu </w:t>
      </w:r>
      <w:r>
        <w:rPr>
          <w:lang w:val="et-EE"/>
        </w:rPr>
        <w:t>sild</w:t>
      </w:r>
      <w:r w:rsidRPr="006E211A">
        <w:rPr>
          <w:lang w:val="et-EE"/>
        </w:rPr>
        <w:t xml:space="preserve">finantseeringu katteks kokku </w:t>
      </w:r>
      <w:r>
        <w:rPr>
          <w:lang w:val="et-EE"/>
        </w:rPr>
        <w:t>kuni 273 483 eurot.</w:t>
      </w:r>
    </w:p>
    <w:p w14:paraId="22DA6F6A" w14:textId="77777777" w:rsidR="00B4629A" w:rsidRDefault="00F4414A" w:rsidP="00B4629A">
      <w:pPr>
        <w:numPr>
          <w:ilvl w:val="1"/>
          <w:numId w:val="1"/>
        </w:numPr>
        <w:ind w:hanging="720"/>
        <w:jc w:val="both"/>
        <w:rPr>
          <w:lang w:val="et-EE"/>
        </w:rPr>
      </w:pPr>
      <w:r>
        <w:rPr>
          <w:lang w:val="et-EE"/>
        </w:rPr>
        <w:lastRenderedPageBreak/>
        <w:t>Projekti omafinantseerimise summad aastate lõikes kaj</w:t>
      </w:r>
      <w:r w:rsidR="00B4629A">
        <w:rPr>
          <w:lang w:val="et-EE"/>
        </w:rPr>
        <w:t>astada Narva linna Arengukavas.</w:t>
      </w:r>
    </w:p>
    <w:p w14:paraId="30F10A07" w14:textId="77777777" w:rsidR="00F4414A" w:rsidRPr="00B4629A" w:rsidRDefault="00F4414A" w:rsidP="00B4629A">
      <w:pPr>
        <w:numPr>
          <w:ilvl w:val="1"/>
          <w:numId w:val="1"/>
        </w:numPr>
        <w:ind w:hanging="720"/>
        <w:jc w:val="both"/>
        <w:rPr>
          <w:lang w:val="et-EE"/>
        </w:rPr>
      </w:pPr>
      <w:r w:rsidRPr="00B4629A">
        <w:rPr>
          <w:lang w:val="et-EE"/>
        </w:rPr>
        <w:t xml:space="preserve">Projekti teostajaks määrata </w:t>
      </w:r>
      <w:r w:rsidR="00B4629A" w:rsidRPr="00B4629A">
        <w:rPr>
          <w:lang w:val="et-EE"/>
        </w:rPr>
        <w:t xml:space="preserve">Narva Linnavalitsuse Linnamajandusamet </w:t>
      </w:r>
      <w:r w:rsidRPr="00B4629A">
        <w:rPr>
          <w:lang w:val="et-EE"/>
        </w:rPr>
        <w:t xml:space="preserve">(registrikood </w:t>
      </w:r>
      <w:r w:rsidR="00B4629A" w:rsidRPr="00B4629A">
        <w:t>75039729</w:t>
      </w:r>
      <w:r w:rsidRPr="00B4629A">
        <w:rPr>
          <w:lang w:val="et-EE"/>
        </w:rPr>
        <w:t>) koos kõigi taotleja õiguste ja kohustustega</w:t>
      </w:r>
      <w:r w:rsidRPr="00B4629A">
        <w:rPr>
          <w:i/>
          <w:lang w:val="et-EE"/>
        </w:rPr>
        <w:t>.</w:t>
      </w:r>
    </w:p>
    <w:p w14:paraId="2A1A8430" w14:textId="77777777" w:rsidR="00F4414A" w:rsidRDefault="00F4414A" w:rsidP="00F4414A">
      <w:pPr>
        <w:ind w:left="720"/>
        <w:jc w:val="both"/>
        <w:rPr>
          <w:i/>
          <w:lang w:val="et-EE"/>
        </w:rPr>
      </w:pPr>
    </w:p>
    <w:p w14:paraId="564DF084" w14:textId="77777777" w:rsidR="00F4414A" w:rsidRPr="008E03B1" w:rsidRDefault="00F4414A" w:rsidP="00F4414A">
      <w:pPr>
        <w:ind w:left="720"/>
        <w:jc w:val="both"/>
        <w:rPr>
          <w:i/>
          <w:lang w:val="et-EE"/>
        </w:rPr>
      </w:pPr>
    </w:p>
    <w:p w14:paraId="0710D1F2" w14:textId="77777777" w:rsidR="00F4414A" w:rsidRPr="006E211A" w:rsidRDefault="00F4414A" w:rsidP="00F4414A">
      <w:pPr>
        <w:jc w:val="both"/>
        <w:rPr>
          <w:b/>
          <w:lang w:val="et-EE"/>
        </w:rPr>
      </w:pPr>
      <w:r w:rsidRPr="006E211A">
        <w:rPr>
          <w:b/>
          <w:lang w:val="et-EE"/>
        </w:rPr>
        <w:t xml:space="preserve">4.  </w:t>
      </w:r>
      <w:r w:rsidRPr="006E211A">
        <w:rPr>
          <w:b/>
          <w:lang w:val="et-EE"/>
        </w:rPr>
        <w:tab/>
        <w:t>RAKENDUSSÄTTED</w:t>
      </w:r>
    </w:p>
    <w:p w14:paraId="2B52EA29" w14:textId="77777777" w:rsidR="00F4414A" w:rsidRPr="006E211A" w:rsidRDefault="00F4414A" w:rsidP="00F4414A">
      <w:pPr>
        <w:jc w:val="both"/>
        <w:rPr>
          <w:lang w:val="et-EE"/>
        </w:rPr>
      </w:pPr>
    </w:p>
    <w:p w14:paraId="26EDF80B" w14:textId="77777777" w:rsidR="00F4414A" w:rsidRDefault="00F4414A" w:rsidP="00F4414A">
      <w:pPr>
        <w:ind w:left="709" w:hanging="709"/>
        <w:jc w:val="both"/>
        <w:rPr>
          <w:lang w:val="et-EE"/>
        </w:rPr>
      </w:pPr>
      <w:r w:rsidRPr="006E211A">
        <w:rPr>
          <w:lang w:val="et-EE"/>
        </w:rPr>
        <w:t>4.1. Otsus jõustub seadusega sätestatud korras.</w:t>
      </w:r>
    </w:p>
    <w:p w14:paraId="12518CF9" w14:textId="77777777" w:rsidR="00F4414A" w:rsidRDefault="00F4414A" w:rsidP="00F4414A">
      <w:pPr>
        <w:jc w:val="both"/>
        <w:rPr>
          <w:lang w:val="et-EE"/>
        </w:rPr>
      </w:pPr>
      <w:r>
        <w:rPr>
          <w:lang w:val="et-EE"/>
        </w:rPr>
        <w:t xml:space="preserve">4.2. </w:t>
      </w:r>
      <w:r w:rsidRPr="006E211A">
        <w:rPr>
          <w:lang w:val="et-EE"/>
        </w:rPr>
        <w:t>Otsust on võimalik vaidlustada Tartu Halduskohtu Jõ</w:t>
      </w:r>
      <w:r>
        <w:rPr>
          <w:lang w:val="et-EE"/>
        </w:rPr>
        <w:t xml:space="preserve">hvi kohtumajas 30 päeva jooksul </w:t>
      </w:r>
    </w:p>
    <w:p w14:paraId="5D99F12A" w14:textId="77777777" w:rsidR="00F4414A" w:rsidRPr="006E211A" w:rsidRDefault="00F4414A" w:rsidP="00F4414A">
      <w:pPr>
        <w:jc w:val="both"/>
        <w:rPr>
          <w:lang w:val="et-EE"/>
        </w:rPr>
      </w:pPr>
      <w:r>
        <w:rPr>
          <w:lang w:val="et-EE"/>
        </w:rPr>
        <w:t xml:space="preserve">       arvates </w:t>
      </w:r>
      <w:r w:rsidRPr="002D7B5E">
        <w:rPr>
          <w:lang w:val="et-EE"/>
        </w:rPr>
        <w:t>otsuse teatavakstegemisest.</w:t>
      </w:r>
    </w:p>
    <w:p w14:paraId="75C5C7C0" w14:textId="77777777" w:rsidR="00F4414A" w:rsidRPr="006E211A" w:rsidRDefault="00F4414A" w:rsidP="00F4414A">
      <w:pPr>
        <w:jc w:val="both"/>
        <w:rPr>
          <w:lang w:val="et-EE"/>
        </w:rPr>
      </w:pPr>
    </w:p>
    <w:p w14:paraId="3F8CF561" w14:textId="77777777" w:rsidR="00F4414A" w:rsidRPr="006E211A" w:rsidRDefault="00F4414A" w:rsidP="00F4414A">
      <w:pPr>
        <w:jc w:val="both"/>
        <w:rPr>
          <w:lang w:val="et-EE"/>
        </w:rPr>
      </w:pPr>
    </w:p>
    <w:p w14:paraId="1DAE61FB" w14:textId="77777777" w:rsidR="00F4414A" w:rsidRDefault="00F4414A" w:rsidP="00F4414A">
      <w:pPr>
        <w:jc w:val="both"/>
        <w:rPr>
          <w:lang w:val="et-EE"/>
        </w:rPr>
      </w:pPr>
    </w:p>
    <w:p w14:paraId="45F1A88F" w14:textId="77777777" w:rsidR="00F4414A" w:rsidRDefault="00F4414A" w:rsidP="00F4414A">
      <w:pPr>
        <w:jc w:val="both"/>
        <w:rPr>
          <w:lang w:val="et-EE"/>
        </w:rPr>
      </w:pPr>
    </w:p>
    <w:p w14:paraId="62DC4FA3" w14:textId="77777777" w:rsidR="00F4414A" w:rsidRDefault="00F4414A" w:rsidP="00F4414A">
      <w:pPr>
        <w:jc w:val="both"/>
        <w:rPr>
          <w:lang w:val="et-EE"/>
        </w:rPr>
      </w:pPr>
    </w:p>
    <w:p w14:paraId="38E80A50" w14:textId="77777777" w:rsidR="00F4414A" w:rsidRDefault="00F4414A" w:rsidP="00F4414A">
      <w:pPr>
        <w:jc w:val="both"/>
        <w:rPr>
          <w:lang w:val="et-EE"/>
        </w:rPr>
      </w:pPr>
    </w:p>
    <w:p w14:paraId="38E080B2" w14:textId="77777777" w:rsidR="00F4414A" w:rsidRPr="006E211A" w:rsidRDefault="00F4414A" w:rsidP="00F4414A">
      <w:pPr>
        <w:jc w:val="both"/>
        <w:rPr>
          <w:lang w:val="et-EE"/>
        </w:rPr>
      </w:pPr>
      <w:r>
        <w:rPr>
          <w:lang w:val="et-EE"/>
        </w:rPr>
        <w:t>Irina Janovitš</w:t>
      </w:r>
      <w:r w:rsidRPr="006E211A">
        <w:rPr>
          <w:lang w:val="et-EE"/>
        </w:rPr>
        <w:tab/>
      </w:r>
      <w:r w:rsidRPr="006E211A">
        <w:rPr>
          <w:lang w:val="et-EE"/>
        </w:rPr>
        <w:tab/>
      </w:r>
      <w:r w:rsidRPr="006E211A">
        <w:rPr>
          <w:lang w:val="et-EE"/>
        </w:rPr>
        <w:tab/>
      </w:r>
      <w:r w:rsidRPr="006E211A">
        <w:rPr>
          <w:lang w:val="et-EE"/>
        </w:rPr>
        <w:tab/>
      </w:r>
      <w:r w:rsidRPr="006E211A">
        <w:rPr>
          <w:lang w:val="et-EE"/>
        </w:rPr>
        <w:tab/>
      </w:r>
    </w:p>
    <w:p w14:paraId="17B5FA25" w14:textId="77777777" w:rsidR="00F4414A" w:rsidRPr="006E211A" w:rsidRDefault="00F4414A" w:rsidP="00F4414A">
      <w:pPr>
        <w:jc w:val="both"/>
        <w:rPr>
          <w:lang w:val="et-EE"/>
        </w:rPr>
      </w:pPr>
      <w:r w:rsidRPr="006E211A">
        <w:rPr>
          <w:lang w:val="et-EE"/>
        </w:rPr>
        <w:t>Linnavolikogu esimees</w:t>
      </w:r>
    </w:p>
    <w:p w14:paraId="3B4A09E0" w14:textId="77777777" w:rsidR="00302701" w:rsidRDefault="00302701"/>
    <w:sectPr w:rsidR="00302701" w:rsidSect="00024395">
      <w:footerReference w:type="even" r:id="rId7"/>
      <w:footerReference w:type="default" r:id="rId8"/>
      <w:pgSz w:w="12240" w:h="15840"/>
      <w:pgMar w:top="1440" w:right="1083" w:bottom="899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CB837" w14:textId="77777777" w:rsidR="00692173" w:rsidRDefault="00692173">
      <w:r>
        <w:separator/>
      </w:r>
    </w:p>
  </w:endnote>
  <w:endnote w:type="continuationSeparator" w:id="0">
    <w:p w14:paraId="0235AD0F" w14:textId="77777777" w:rsidR="00692173" w:rsidRDefault="0069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E524" w14:textId="77777777" w:rsidR="0053097D" w:rsidRDefault="00F4414A" w:rsidP="00512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48547F" w14:textId="77777777" w:rsidR="0053097D" w:rsidRDefault="00692173" w:rsidP="001A3D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E8769" w14:textId="77777777" w:rsidR="0053097D" w:rsidRDefault="00692173" w:rsidP="001A3D6D">
    <w:pPr>
      <w:pStyle w:val="Footer"/>
      <w:ind w:right="360"/>
    </w:pPr>
  </w:p>
  <w:p w14:paraId="049D6FFC" w14:textId="77777777" w:rsidR="00024395" w:rsidRDefault="006921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6F51B" w14:textId="77777777" w:rsidR="00692173" w:rsidRDefault="00692173">
      <w:r>
        <w:separator/>
      </w:r>
    </w:p>
  </w:footnote>
  <w:footnote w:type="continuationSeparator" w:id="0">
    <w:p w14:paraId="2C324E85" w14:textId="77777777" w:rsidR="00692173" w:rsidRDefault="0069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C5902"/>
    <w:multiLevelType w:val="multilevel"/>
    <w:tmpl w:val="69E8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4A"/>
    <w:rsid w:val="00067AE2"/>
    <w:rsid w:val="001A641C"/>
    <w:rsid w:val="001D23F4"/>
    <w:rsid w:val="00205251"/>
    <w:rsid w:val="00302701"/>
    <w:rsid w:val="00447E67"/>
    <w:rsid w:val="00692173"/>
    <w:rsid w:val="009711CA"/>
    <w:rsid w:val="00B4629A"/>
    <w:rsid w:val="00F4414A"/>
    <w:rsid w:val="00FA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ED1D"/>
  <w15:chartTrackingRefBased/>
  <w15:docId w15:val="{C91762DD-B1E1-493A-96FD-2DC2A77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4414A"/>
    <w:pPr>
      <w:keepNext/>
      <w:jc w:val="center"/>
      <w:outlineLvl w:val="0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1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F4414A"/>
    <w:pPr>
      <w:jc w:val="both"/>
    </w:pPr>
    <w:rPr>
      <w:color w:val="FF0000"/>
      <w:sz w:val="22"/>
      <w:lang w:val="et-EE"/>
    </w:rPr>
  </w:style>
  <w:style w:type="character" w:customStyle="1" w:styleId="BodyTextChar">
    <w:name w:val="Body Text Char"/>
    <w:basedOn w:val="DefaultParagraphFont"/>
    <w:link w:val="BodyText"/>
    <w:rsid w:val="00F4414A"/>
    <w:rPr>
      <w:rFonts w:ascii="Times New Roman" w:eastAsia="Times New Roman" w:hAnsi="Times New Roman" w:cs="Times New Roman"/>
      <w:color w:val="FF0000"/>
      <w:szCs w:val="24"/>
    </w:rPr>
  </w:style>
  <w:style w:type="paragraph" w:styleId="Footer">
    <w:name w:val="footer"/>
    <w:basedOn w:val="Normal"/>
    <w:link w:val="FooterChar"/>
    <w:rsid w:val="00F4414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F441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4414A"/>
  </w:style>
  <w:style w:type="character" w:styleId="CommentReference">
    <w:name w:val="annotation reference"/>
    <w:basedOn w:val="DefaultParagraphFont"/>
    <w:uiPriority w:val="99"/>
    <w:semiHidden/>
    <w:unhideWhenUsed/>
    <w:rsid w:val="00B46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9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Jelena</cp:lastModifiedBy>
  <cp:revision>2</cp:revision>
  <dcterms:created xsi:type="dcterms:W3CDTF">2020-05-11T05:53:00Z</dcterms:created>
  <dcterms:modified xsi:type="dcterms:W3CDTF">2020-05-11T05:53:00Z</dcterms:modified>
</cp:coreProperties>
</file>