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072"/>
      </w:tblGrid>
      <w:tr w:rsidR="00A6567D" w:rsidRPr="0034255D" w:rsidTr="001F6DE4">
        <w:trPr>
          <w:tblCellSpacing w:w="0" w:type="dxa"/>
        </w:trPr>
        <w:tc>
          <w:tcPr>
            <w:tcW w:w="5000" w:type="pct"/>
          </w:tcPr>
          <w:p w:rsidR="00A6567D" w:rsidRPr="0034255D" w:rsidRDefault="00A6567D" w:rsidP="001F6DE4">
            <w:pPr>
              <w:pStyle w:val="NormalWeb"/>
              <w:tabs>
                <w:tab w:val="left" w:pos="6840"/>
              </w:tabs>
              <w:jc w:val="right"/>
              <w:rPr>
                <w:lang w:val="et-EE"/>
              </w:rPr>
            </w:pPr>
            <w:r w:rsidRPr="0034255D">
              <w:rPr>
                <w:lang w:val="et-EE"/>
              </w:rPr>
              <w:t xml:space="preserve">                                                                                                                                                                                                Eelnõu</w:t>
            </w:r>
          </w:p>
          <w:p w:rsidR="00A6567D" w:rsidRPr="0034255D" w:rsidRDefault="00A6567D" w:rsidP="001F6DE4">
            <w:pPr>
              <w:pStyle w:val="NormalWeb"/>
              <w:tabs>
                <w:tab w:val="left" w:pos="6840"/>
              </w:tabs>
              <w:jc w:val="center"/>
              <w:rPr>
                <w:b/>
                <w:bCs/>
                <w:lang w:val="et-EE"/>
              </w:rPr>
            </w:pPr>
            <w:r w:rsidRPr="0034255D">
              <w:rPr>
                <w:b/>
                <w:bCs/>
                <w:lang w:val="et-EE"/>
              </w:rPr>
              <w:t>NARVA LINNAVALITSUS</w:t>
            </w:r>
          </w:p>
        </w:tc>
      </w:tr>
    </w:tbl>
    <w:p w:rsidR="00A6567D" w:rsidRPr="0034255D" w:rsidRDefault="00A6567D" w:rsidP="00A6567D">
      <w:pPr>
        <w:pStyle w:val="NormalWeb"/>
        <w:jc w:val="center"/>
        <w:rPr>
          <w:lang w:val="et-EE"/>
        </w:rPr>
      </w:pPr>
      <w:r w:rsidRPr="0034255D">
        <w:rPr>
          <w:b/>
          <w:bCs/>
          <w:lang w:val="et-EE"/>
        </w:rPr>
        <w:t>KORRALDUS</w:t>
      </w:r>
      <w:r w:rsidRPr="0034255D">
        <w:rPr>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A6567D" w:rsidRPr="0034255D" w:rsidTr="001F6DE4">
        <w:trPr>
          <w:tblCellSpacing w:w="0" w:type="dxa"/>
        </w:trPr>
        <w:tc>
          <w:tcPr>
            <w:tcW w:w="1700" w:type="pct"/>
          </w:tcPr>
          <w:p w:rsidR="00A6567D" w:rsidRPr="0034255D" w:rsidRDefault="00A6567D" w:rsidP="001F6DE4">
            <w:pPr>
              <w:rPr>
                <w:color w:val="000000"/>
                <w:lang w:val="et-EE"/>
              </w:rPr>
            </w:pPr>
            <w:r w:rsidRPr="0034255D">
              <w:rPr>
                <w:lang w:val="et-EE"/>
              </w:rPr>
              <w:t>Narva</w:t>
            </w:r>
          </w:p>
        </w:tc>
        <w:tc>
          <w:tcPr>
            <w:tcW w:w="3300" w:type="pct"/>
          </w:tcPr>
          <w:p w:rsidR="00A6567D" w:rsidRPr="0034255D" w:rsidRDefault="00A6567D" w:rsidP="001F6DE4">
            <w:pPr>
              <w:jc w:val="center"/>
              <w:rPr>
                <w:color w:val="000000"/>
                <w:lang w:val="et-EE"/>
              </w:rPr>
            </w:pPr>
            <w:r w:rsidRPr="0034255D">
              <w:rPr>
                <w:lang w:val="et-EE"/>
              </w:rPr>
              <w:t xml:space="preserve">                            </w:t>
            </w:r>
            <w:r>
              <w:rPr>
                <w:lang w:val="et-EE"/>
              </w:rPr>
              <w:t xml:space="preserve">                            </w:t>
            </w:r>
            <w:r w:rsidRPr="0034255D">
              <w:rPr>
                <w:lang w:val="et-EE"/>
              </w:rPr>
              <w:t xml:space="preserve"> </w:t>
            </w:r>
            <w:r>
              <w:rPr>
                <w:lang w:val="et-EE"/>
              </w:rPr>
              <w:t>……. 2021.</w:t>
            </w:r>
            <w:r w:rsidRPr="0034255D">
              <w:rPr>
                <w:lang w:val="et-EE"/>
              </w:rPr>
              <w:t xml:space="preserve">a. nr </w:t>
            </w:r>
          </w:p>
        </w:tc>
      </w:tr>
      <w:tr w:rsidR="00A6567D" w:rsidRPr="0034255D" w:rsidTr="001F6DE4">
        <w:trPr>
          <w:tblCellSpacing w:w="0" w:type="dxa"/>
        </w:trPr>
        <w:tc>
          <w:tcPr>
            <w:tcW w:w="1700" w:type="pct"/>
          </w:tcPr>
          <w:p w:rsidR="00A6567D" w:rsidRPr="0034255D" w:rsidRDefault="00A6567D" w:rsidP="001F6DE4">
            <w:pPr>
              <w:rPr>
                <w:lang w:val="et-EE"/>
              </w:rPr>
            </w:pPr>
          </w:p>
        </w:tc>
        <w:tc>
          <w:tcPr>
            <w:tcW w:w="3300" w:type="pct"/>
          </w:tcPr>
          <w:p w:rsidR="00A6567D" w:rsidRPr="0034255D" w:rsidRDefault="00A6567D" w:rsidP="001F6DE4">
            <w:pPr>
              <w:jc w:val="right"/>
              <w:rPr>
                <w:lang w:val="et-EE"/>
              </w:rPr>
            </w:pPr>
          </w:p>
        </w:tc>
      </w:tr>
    </w:tbl>
    <w:p w:rsidR="00A6567D" w:rsidRPr="00B84C93" w:rsidRDefault="00A6567D" w:rsidP="00A6567D">
      <w:pPr>
        <w:pStyle w:val="Caption"/>
        <w:ind w:left="0"/>
        <w:jc w:val="both"/>
        <w:rPr>
          <w:sz w:val="24"/>
          <w:szCs w:val="24"/>
          <w:lang w:val="et-EE"/>
        </w:rPr>
      </w:pPr>
      <w:r w:rsidRPr="00B84C93">
        <w:rPr>
          <w:sz w:val="24"/>
          <w:szCs w:val="24"/>
          <w:lang w:val="et-EE"/>
        </w:rPr>
        <w:t>Tee ehitusloa andmine</w:t>
      </w:r>
      <w:r>
        <w:rPr>
          <w:sz w:val="24"/>
          <w:szCs w:val="24"/>
          <w:lang w:val="et-EE"/>
        </w:rPr>
        <w:t xml:space="preserve"> </w:t>
      </w:r>
      <w:r w:rsidRPr="00B736DB">
        <w:rPr>
          <w:sz w:val="24"/>
          <w:szCs w:val="24"/>
          <w:lang w:val="et-EE"/>
        </w:rPr>
        <w:t>(</w:t>
      </w:r>
      <w:r w:rsidRPr="00ED4803">
        <w:rPr>
          <w:sz w:val="24"/>
          <w:szCs w:val="24"/>
          <w:lang w:val="et-EE"/>
        </w:rPr>
        <w:t>Albert-August Tiimanni tänav L1 // Albert-August Tiimanni tänav L2 // Albert-August Tiimanni tänav L3 // Vahtra tänav // osalise</w:t>
      </w:r>
      <w:r>
        <w:rPr>
          <w:sz w:val="24"/>
          <w:szCs w:val="24"/>
          <w:lang w:val="et-EE"/>
        </w:rPr>
        <w:t>lt Tallinna maantee L4 avaliku</w:t>
      </w:r>
      <w:r w:rsidRPr="00ED4803">
        <w:rPr>
          <w:sz w:val="24"/>
          <w:szCs w:val="24"/>
          <w:lang w:val="et-EE"/>
        </w:rPr>
        <w:t>l</w:t>
      </w:r>
      <w:r>
        <w:rPr>
          <w:sz w:val="24"/>
          <w:szCs w:val="24"/>
          <w:lang w:val="et-EE"/>
        </w:rPr>
        <w:t>t</w:t>
      </w:r>
      <w:r w:rsidRPr="00ED4803">
        <w:rPr>
          <w:sz w:val="24"/>
          <w:szCs w:val="24"/>
          <w:lang w:val="et-EE"/>
        </w:rPr>
        <w:t xml:space="preserve"> </w:t>
      </w:r>
      <w:r>
        <w:rPr>
          <w:sz w:val="24"/>
          <w:szCs w:val="24"/>
          <w:lang w:val="et-EE"/>
        </w:rPr>
        <w:t>kasutatavate teede</w:t>
      </w:r>
      <w:r w:rsidRPr="00ED4803">
        <w:rPr>
          <w:sz w:val="24"/>
          <w:szCs w:val="24"/>
          <w:lang w:val="et-EE"/>
        </w:rPr>
        <w:t xml:space="preserve"> ja selle teenindamiseks </w:t>
      </w:r>
      <w:proofErr w:type="spellStart"/>
      <w:r>
        <w:rPr>
          <w:sz w:val="24"/>
          <w:szCs w:val="24"/>
          <w:lang w:val="et-EE"/>
        </w:rPr>
        <w:t>valalikute</w:t>
      </w:r>
      <w:proofErr w:type="spellEnd"/>
      <w:r>
        <w:rPr>
          <w:sz w:val="24"/>
          <w:szCs w:val="24"/>
          <w:lang w:val="et-EE"/>
        </w:rPr>
        <w:t xml:space="preserve"> </w:t>
      </w:r>
      <w:r w:rsidRPr="00ED4803">
        <w:rPr>
          <w:sz w:val="24"/>
          <w:szCs w:val="24"/>
          <w:lang w:val="et-EE"/>
        </w:rPr>
        <w:t>rajatiste ehitamiseks</w:t>
      </w:r>
      <w:r w:rsidRPr="00B84C93">
        <w:rPr>
          <w:sz w:val="24"/>
          <w:szCs w:val="24"/>
          <w:lang w:val="et-EE"/>
        </w:rPr>
        <w:t xml:space="preserve"> </w:t>
      </w:r>
    </w:p>
    <w:p w:rsidR="00A6567D" w:rsidRPr="00B84C93" w:rsidRDefault="00A6567D" w:rsidP="00A6567D">
      <w:pPr>
        <w:rPr>
          <w:lang w:val="et-EE"/>
        </w:rPr>
      </w:pPr>
    </w:p>
    <w:p w:rsidR="00A6567D" w:rsidRPr="00B84C93" w:rsidRDefault="00A6567D" w:rsidP="00A6567D">
      <w:pPr>
        <w:numPr>
          <w:ilvl w:val="0"/>
          <w:numId w:val="1"/>
        </w:numPr>
        <w:tabs>
          <w:tab w:val="clear" w:pos="780"/>
          <w:tab w:val="num" w:pos="360"/>
        </w:tabs>
        <w:ind w:left="360"/>
        <w:rPr>
          <w:b/>
          <w:lang w:val="et-EE"/>
        </w:rPr>
      </w:pPr>
      <w:r w:rsidRPr="00B84C93">
        <w:rPr>
          <w:b/>
          <w:lang w:val="et-EE"/>
        </w:rPr>
        <w:t>ASJAOLUD JA MENETLUSE KÄIK</w:t>
      </w:r>
    </w:p>
    <w:p w:rsidR="00A6567D" w:rsidRDefault="00A6567D" w:rsidP="00A6567D">
      <w:pPr>
        <w:jc w:val="both"/>
        <w:rPr>
          <w:lang w:val="et-EE"/>
        </w:rPr>
      </w:pPr>
      <w:r>
        <w:rPr>
          <w:lang w:val="et-EE"/>
        </w:rPr>
        <w:t>01</w:t>
      </w:r>
      <w:r w:rsidRPr="00B84C93">
        <w:rPr>
          <w:lang w:val="et-EE"/>
        </w:rPr>
        <w:t>.</w:t>
      </w:r>
      <w:r>
        <w:rPr>
          <w:lang w:val="et-EE"/>
        </w:rPr>
        <w:t>07.2020</w:t>
      </w:r>
      <w:r w:rsidRPr="00B84C93">
        <w:rPr>
          <w:lang w:val="et-EE"/>
        </w:rPr>
        <w:t xml:space="preserve"> läbivaatamiseks laekus </w:t>
      </w:r>
      <w:r w:rsidRPr="00ED4803">
        <w:rPr>
          <w:lang w:val="et-EE"/>
        </w:rPr>
        <w:t>Albert-August Tiimanni tänav L1 // Albert-August Tiimanni tänav L2 // Albert-August Tiimanni tänav L3 // Vahtra tänav // osaliselt Tallinna maantee L4 avalikult kasutatavate teede</w:t>
      </w:r>
      <w:r>
        <w:rPr>
          <w:lang w:val="et-EE"/>
        </w:rPr>
        <w:t xml:space="preserve"> ümberehitamiseks</w:t>
      </w:r>
      <w:r w:rsidRPr="00ED4803">
        <w:rPr>
          <w:lang w:val="et-EE"/>
        </w:rPr>
        <w:t xml:space="preserve"> ja selle teenindamiseks</w:t>
      </w:r>
      <w:r>
        <w:rPr>
          <w:lang w:val="et-EE"/>
        </w:rPr>
        <w:t xml:space="preserve"> vajalikute</w:t>
      </w:r>
      <w:r w:rsidRPr="00ED4803">
        <w:rPr>
          <w:lang w:val="et-EE"/>
        </w:rPr>
        <w:t xml:space="preserve"> rajatiste ehitamiseks</w:t>
      </w:r>
      <w:r w:rsidRPr="008304C1">
        <w:rPr>
          <w:lang w:val="et-EE"/>
        </w:rPr>
        <w:t xml:space="preserve"> </w:t>
      </w:r>
      <w:r>
        <w:rPr>
          <w:lang w:val="et-EE"/>
        </w:rPr>
        <w:t xml:space="preserve">tee ehitusloa taotlus </w:t>
      </w:r>
      <w:r w:rsidRPr="00B84C93">
        <w:rPr>
          <w:lang w:val="et-EE"/>
        </w:rPr>
        <w:t>koos tee ehitusprojektiga</w:t>
      </w:r>
      <w:r>
        <w:rPr>
          <w:lang w:val="et-EE"/>
        </w:rPr>
        <w:t xml:space="preserve">, töö nr 008-20, </w:t>
      </w:r>
      <w:proofErr w:type="spellStart"/>
      <w:r>
        <w:rPr>
          <w:lang w:val="et-EE"/>
        </w:rPr>
        <w:t>peaprojekteerija</w:t>
      </w:r>
      <w:proofErr w:type="spellEnd"/>
      <w:r>
        <w:rPr>
          <w:lang w:val="et-EE"/>
        </w:rPr>
        <w:t xml:space="preserve"> Tuulekaru OÜ </w:t>
      </w:r>
      <w:r w:rsidRPr="00B84C93">
        <w:rPr>
          <w:lang w:val="et-EE"/>
        </w:rPr>
        <w:t xml:space="preserve">(linnavalitsuse dokumendiregistris nr </w:t>
      </w:r>
      <w:r>
        <w:rPr>
          <w:lang w:val="et-EE"/>
        </w:rPr>
        <w:t>6643</w:t>
      </w:r>
      <w:r w:rsidRPr="003E4741">
        <w:rPr>
          <w:lang w:val="et-EE"/>
        </w:rPr>
        <w:t>/1-16</w:t>
      </w:r>
      <w:r>
        <w:rPr>
          <w:lang w:val="et-EE"/>
        </w:rPr>
        <w:t xml:space="preserve">). </w:t>
      </w:r>
    </w:p>
    <w:p w:rsidR="00A6567D" w:rsidRDefault="00A6567D" w:rsidP="00A6567D">
      <w:pPr>
        <w:jc w:val="both"/>
        <w:rPr>
          <w:lang w:val="et-EE"/>
        </w:rPr>
      </w:pPr>
      <w:r w:rsidRPr="006E0449">
        <w:rPr>
          <w:lang w:val="et-EE"/>
        </w:rPr>
        <w:t xml:space="preserve">Narva Linnavolikogu 24.01.2013 otsusega nr 3 kehtestatud Narva linna üldplaneeringuga on Albert-August Tiimanni tänav L1 // Albert-August Tiimanni tänav L2 // Albert-August Tiimanni tänav L3 // Vahtra tänav // Tallinna maantee L4 avalikult maakasutuse sihtotstarbeks määratud </w:t>
      </w:r>
      <w:r>
        <w:rPr>
          <w:lang w:val="et-EE"/>
        </w:rPr>
        <w:t>transpordi</w:t>
      </w:r>
      <w:r w:rsidRPr="006E0449">
        <w:rPr>
          <w:lang w:val="et-EE"/>
        </w:rPr>
        <w:t>maa 100%.</w:t>
      </w:r>
    </w:p>
    <w:p w:rsidR="00A6567D" w:rsidRPr="00B84C93" w:rsidRDefault="00A6567D" w:rsidP="00A6567D">
      <w:pPr>
        <w:jc w:val="both"/>
        <w:rPr>
          <w:lang w:val="et-EE"/>
        </w:rPr>
      </w:pPr>
    </w:p>
    <w:p w:rsidR="00A6567D" w:rsidRDefault="00A6567D" w:rsidP="00A6567D">
      <w:pPr>
        <w:jc w:val="both"/>
        <w:rPr>
          <w:bCs/>
          <w:lang w:val="et-EE"/>
        </w:rPr>
      </w:pPr>
      <w:r w:rsidRPr="00B84C93">
        <w:rPr>
          <w:lang w:val="et-EE"/>
        </w:rPr>
        <w:t>Tee ehitusloa menetluse raames olid linnavalitsuse dokumendiregistri kaudu  kaasatud Narva Linnavalitsuse Arhitektuuri- ja Linnaplaneerimise Ameti</w:t>
      </w:r>
      <w:r>
        <w:rPr>
          <w:lang w:val="et-EE"/>
        </w:rPr>
        <w:t>, Narva Linna Arenduse ja Ökonoomika Ameti ja</w:t>
      </w:r>
      <w:r w:rsidRPr="00B84C93">
        <w:rPr>
          <w:lang w:val="et-EE"/>
        </w:rPr>
        <w:t xml:space="preserve"> Linnamajandusameti</w:t>
      </w:r>
      <w:r>
        <w:rPr>
          <w:lang w:val="et-EE"/>
        </w:rPr>
        <w:t xml:space="preserve"> </w:t>
      </w:r>
      <w:r w:rsidRPr="00B84C93">
        <w:rPr>
          <w:bCs/>
          <w:lang w:val="et-EE"/>
        </w:rPr>
        <w:t>spetsialistid, kes on  kooskõlastanud või andnud arvamuse tee ehitusprojektile (dok</w:t>
      </w:r>
      <w:r>
        <w:rPr>
          <w:bCs/>
          <w:lang w:val="et-EE"/>
        </w:rPr>
        <w:t>umendiregistris n</w:t>
      </w:r>
      <w:r w:rsidRPr="00B84C93">
        <w:rPr>
          <w:bCs/>
          <w:lang w:val="et-EE"/>
        </w:rPr>
        <w:t xml:space="preserve">r </w:t>
      </w:r>
      <w:r>
        <w:rPr>
          <w:bCs/>
          <w:lang w:val="et-EE"/>
        </w:rPr>
        <w:t>6643</w:t>
      </w:r>
      <w:r w:rsidRPr="003E4741">
        <w:rPr>
          <w:bCs/>
          <w:lang w:val="et-EE"/>
        </w:rPr>
        <w:t>/1-16</w:t>
      </w:r>
      <w:r>
        <w:rPr>
          <w:bCs/>
          <w:lang w:val="et-EE"/>
        </w:rPr>
        <w:t>, 1086/1-16</w:t>
      </w:r>
      <w:r w:rsidRPr="005349E2">
        <w:rPr>
          <w:bCs/>
          <w:lang w:val="et-EE"/>
        </w:rPr>
        <w:t>).</w:t>
      </w:r>
    </w:p>
    <w:p w:rsidR="00A6567D" w:rsidRDefault="00A6567D" w:rsidP="00A6567D">
      <w:pPr>
        <w:jc w:val="both"/>
        <w:rPr>
          <w:bCs/>
          <w:lang w:val="et-EE"/>
        </w:rPr>
      </w:pPr>
    </w:p>
    <w:p w:rsidR="00A6567D" w:rsidRDefault="00A6567D" w:rsidP="00A6567D">
      <w:pPr>
        <w:jc w:val="both"/>
        <w:rPr>
          <w:bCs/>
          <w:lang w:val="et-EE"/>
        </w:rPr>
      </w:pPr>
      <w:r w:rsidRPr="00E00356">
        <w:rPr>
          <w:bCs/>
          <w:lang w:val="et-EE"/>
        </w:rPr>
        <w:t xml:space="preserve">Arhitektuuri- ja Linnaplaneerimise Amet </w:t>
      </w:r>
      <w:r>
        <w:rPr>
          <w:bCs/>
          <w:lang w:val="et-EE"/>
        </w:rPr>
        <w:t>kooskõlastas märkustega:</w:t>
      </w:r>
    </w:p>
    <w:p w:rsidR="00A6567D" w:rsidRPr="00F21F21" w:rsidRDefault="00A6567D" w:rsidP="00A6567D">
      <w:pPr>
        <w:jc w:val="both"/>
        <w:rPr>
          <w:bCs/>
          <w:lang w:val="et-EE"/>
        </w:rPr>
      </w:pPr>
      <w:r>
        <w:rPr>
          <w:bCs/>
          <w:lang w:val="et-EE"/>
        </w:rPr>
        <w:t>(1). „</w:t>
      </w:r>
      <w:r w:rsidRPr="00F21F21">
        <w:rPr>
          <w:bCs/>
          <w:lang w:val="et-EE"/>
        </w:rPr>
        <w:t xml:space="preserve">Kavandatav tegevus ei kuulu </w:t>
      </w:r>
      <w:proofErr w:type="spellStart"/>
      <w:r w:rsidRPr="00F21F21">
        <w:rPr>
          <w:bCs/>
          <w:lang w:val="et-EE"/>
        </w:rPr>
        <w:t>KeHJS</w:t>
      </w:r>
      <w:proofErr w:type="spellEnd"/>
      <w:r w:rsidRPr="00F21F21">
        <w:rPr>
          <w:bCs/>
          <w:lang w:val="et-EE"/>
        </w:rPr>
        <w:t xml:space="preserve"> § 6 lg 1 nimetatud tegevuste nimistusse, mille korral keskkonnamõju hindamise (KMH) läbiviimine on kohustuslik. Kui kavandatav tegevus ei kuulu </w:t>
      </w:r>
      <w:proofErr w:type="spellStart"/>
      <w:r w:rsidRPr="00F21F21">
        <w:rPr>
          <w:bCs/>
          <w:lang w:val="et-EE"/>
        </w:rPr>
        <w:t>KeHJS</w:t>
      </w:r>
      <w:proofErr w:type="spellEnd"/>
      <w:r w:rsidRPr="00F21F21">
        <w:rPr>
          <w:bCs/>
          <w:lang w:val="et-EE"/>
        </w:rPr>
        <w:t xml:space="preserve"> § 6 lg 1 nimetatute hulka, peab otsustaja selgitama välja, kas kavandatav tegevus kuulub </w:t>
      </w:r>
      <w:proofErr w:type="spellStart"/>
      <w:r w:rsidRPr="00F21F21">
        <w:rPr>
          <w:bCs/>
          <w:lang w:val="et-EE"/>
        </w:rPr>
        <w:t>KeHJS</w:t>
      </w:r>
      <w:proofErr w:type="spellEnd"/>
      <w:r w:rsidRPr="00F21F21">
        <w:rPr>
          <w:bCs/>
          <w:lang w:val="et-EE"/>
        </w:rPr>
        <w:t xml:space="preserve"> § 6 lg 2 nimetatud valdkondade hulka ja on loetletud Vabariigi Valitsuse 29.08.2005 määruses nr 224 „Tegevusvaldkondade, mille korral tuleb anda keskkonnamõju hindamise vajalikkuse eelhinnang, täpsustatud loetelu“ või on tegemist </w:t>
      </w:r>
      <w:proofErr w:type="spellStart"/>
      <w:r w:rsidRPr="00F21F21">
        <w:rPr>
          <w:bCs/>
          <w:lang w:val="et-EE"/>
        </w:rPr>
        <w:t>KeHJS</w:t>
      </w:r>
      <w:proofErr w:type="spellEnd"/>
      <w:r w:rsidRPr="00F21F21">
        <w:rPr>
          <w:bCs/>
          <w:lang w:val="et-EE"/>
        </w:rPr>
        <w:t xml:space="preserve"> § 6 lg 2´1 tegevusega.</w:t>
      </w:r>
    </w:p>
    <w:p w:rsidR="00A6567D" w:rsidRDefault="00A6567D" w:rsidP="00A6567D">
      <w:pPr>
        <w:jc w:val="both"/>
        <w:rPr>
          <w:bCs/>
          <w:lang w:val="et-EE"/>
        </w:rPr>
      </w:pPr>
      <w:r w:rsidRPr="00F21F21">
        <w:rPr>
          <w:bCs/>
          <w:lang w:val="et-EE"/>
        </w:rPr>
        <w:t xml:space="preserve">Antud juhul kuulub kavandatav tegevus </w:t>
      </w:r>
      <w:proofErr w:type="spellStart"/>
      <w:r w:rsidRPr="00F21F21">
        <w:rPr>
          <w:bCs/>
          <w:lang w:val="et-EE"/>
        </w:rPr>
        <w:t>KeHJS</w:t>
      </w:r>
      <w:proofErr w:type="spellEnd"/>
      <w:r w:rsidRPr="00F21F21">
        <w:rPr>
          <w:bCs/>
          <w:lang w:val="et-EE"/>
        </w:rPr>
        <w:t xml:space="preserve"> § 6 lg 2 p 10 mainitud valdkonda. Samas ei ole kavandatavat tegevust nimetatud Vabariigi Valitsuse 29.08.2005 määruses nr 224 „Tegevusvaldkondade, mille korral tuleb anda keskkonnamõju hindamise vajalikkuse eelhinnang, täpsustatud loetelu“ (ei kuulu nimetatud määruse nr 224 § 13 p 8 tee rajamine või laiendamine, sest tegemist on tee ümberehitamise ning pöörderadade ja ülekäigukohtade ehitamisega), ning seetõttu eelhinnangut vastavalt </w:t>
      </w:r>
      <w:proofErr w:type="spellStart"/>
      <w:r w:rsidRPr="00F21F21">
        <w:rPr>
          <w:bCs/>
          <w:lang w:val="et-EE"/>
        </w:rPr>
        <w:t>KeHJS</w:t>
      </w:r>
      <w:proofErr w:type="spellEnd"/>
      <w:r w:rsidRPr="00F21F21">
        <w:rPr>
          <w:bCs/>
          <w:lang w:val="et-EE"/>
        </w:rPr>
        <w:t xml:space="preserve"> § 6 lg 2´3 ei anta</w:t>
      </w:r>
      <w:r>
        <w:rPr>
          <w:bCs/>
          <w:lang w:val="et-EE"/>
        </w:rPr>
        <w:t>“</w:t>
      </w:r>
      <w:r w:rsidRPr="00F21F21">
        <w:rPr>
          <w:bCs/>
          <w:lang w:val="et-EE"/>
        </w:rPr>
        <w:t>.</w:t>
      </w:r>
    </w:p>
    <w:p w:rsidR="00A6567D" w:rsidRDefault="00A6567D" w:rsidP="00A6567D">
      <w:pPr>
        <w:jc w:val="both"/>
        <w:rPr>
          <w:bCs/>
          <w:lang w:val="et-EE"/>
        </w:rPr>
      </w:pPr>
    </w:p>
    <w:p w:rsidR="00A6567D" w:rsidRPr="0084148B" w:rsidRDefault="00A6567D" w:rsidP="00A6567D">
      <w:pPr>
        <w:jc w:val="both"/>
        <w:rPr>
          <w:bCs/>
          <w:lang w:val="et-EE"/>
        </w:rPr>
      </w:pPr>
      <w:r w:rsidRPr="0084148B">
        <w:rPr>
          <w:bCs/>
          <w:lang w:val="et-EE"/>
        </w:rPr>
        <w:t>(2). „Enne ehitustööde alustamisest peab olema ehitustööde organiseerimise kava kooskõlastatud tellijaga ja vajaduse korral ka naaberkinnistute omanikega. Kooskõlastatud organiseerimise kavas peavad olema kajastatud vähemalt ehitustööde teostamise meetodid, ehitusplatsi piirdeaia asukoht ning ehitustööde teostamise ajaks liikluskorraldus (EVS 932:2017). Samuti ehitustööde käigus tuleb järgida kehtiva Narva linna heakorra eeskirja § 9 sätestatud nõuded. Ehitustööde läbiviimisel ei tohi rikkuda teistele isikutele kuuluvaid asjaõigusi</w:t>
      </w:r>
      <w:r>
        <w:rPr>
          <w:bCs/>
          <w:lang w:val="et-EE"/>
        </w:rPr>
        <w:t xml:space="preserve">. </w:t>
      </w:r>
      <w:proofErr w:type="spellStart"/>
      <w:r w:rsidRPr="0084148B">
        <w:rPr>
          <w:bCs/>
          <w:lang w:val="et-EE"/>
        </w:rPr>
        <w:t>EhS</w:t>
      </w:r>
      <w:proofErr w:type="spellEnd"/>
      <w:r w:rsidRPr="0084148B">
        <w:rPr>
          <w:bCs/>
          <w:lang w:val="et-EE"/>
        </w:rPr>
        <w:t xml:space="preserve"> § 12 lg 1, 3 kohaselt tuleb ehitada ehitusprojekti kohaselt, järgides ehitise ja ehitamise kohta kehtivaid nõudeid ning ehitamisel tuleb arvestada ehitamisest mõjutatud isikute õigusi ning rakendada abinõusid nende õiguste ülemäärase kahjustamise vastu“.</w:t>
      </w:r>
    </w:p>
    <w:p w:rsidR="00A6567D" w:rsidRDefault="00A6567D" w:rsidP="00A6567D">
      <w:pPr>
        <w:jc w:val="both"/>
        <w:rPr>
          <w:bCs/>
          <w:lang w:val="et-EE"/>
        </w:rPr>
      </w:pPr>
    </w:p>
    <w:p w:rsidR="00A6567D" w:rsidRDefault="00A6567D" w:rsidP="00A6567D">
      <w:pPr>
        <w:jc w:val="both"/>
        <w:rPr>
          <w:bCs/>
          <w:lang w:val="et-EE"/>
        </w:rPr>
      </w:pPr>
      <w:r>
        <w:rPr>
          <w:bCs/>
          <w:lang w:val="et-EE"/>
        </w:rPr>
        <w:lastRenderedPageBreak/>
        <w:t xml:space="preserve">Narva </w:t>
      </w:r>
      <w:r w:rsidRPr="006345A2">
        <w:rPr>
          <w:bCs/>
          <w:lang w:val="et-EE"/>
        </w:rPr>
        <w:t xml:space="preserve">Linna Arenduse ja Ökonoomika Amet kooskõlastas </w:t>
      </w:r>
      <w:r w:rsidRPr="00F21F21">
        <w:rPr>
          <w:bCs/>
          <w:lang w:val="et-EE"/>
        </w:rPr>
        <w:t xml:space="preserve">märkusega: </w:t>
      </w:r>
      <w:r>
        <w:rPr>
          <w:bCs/>
          <w:lang w:val="et-EE"/>
        </w:rPr>
        <w:t>„</w:t>
      </w:r>
      <w:r w:rsidRPr="00F21F21">
        <w:rPr>
          <w:bCs/>
          <w:lang w:val="et-EE"/>
        </w:rPr>
        <w:t xml:space="preserve">Tuleb arvestada tööde teostamisel Narva tänavavalgustuse taristu renoveerimise projektiga P679 ja kooskõlastada enne tööde algust mõlema projekti tööde teostamise tähtajad (et vältida samas piirkonnas teede mitmekordset </w:t>
      </w:r>
      <w:proofErr w:type="spellStart"/>
      <w:r w:rsidRPr="00F21F21">
        <w:rPr>
          <w:bCs/>
          <w:lang w:val="et-EE"/>
        </w:rPr>
        <w:t>lahtikaevamist</w:t>
      </w:r>
      <w:proofErr w:type="spellEnd"/>
      <w:r w:rsidRPr="00F21F21">
        <w:rPr>
          <w:bCs/>
          <w:lang w:val="et-EE"/>
        </w:rPr>
        <w:t>)</w:t>
      </w:r>
      <w:r>
        <w:rPr>
          <w:bCs/>
          <w:lang w:val="et-EE"/>
        </w:rPr>
        <w:t>“</w:t>
      </w:r>
      <w:r w:rsidRPr="00F21F21">
        <w:rPr>
          <w:bCs/>
          <w:lang w:val="et-EE"/>
        </w:rPr>
        <w:t>.</w:t>
      </w:r>
    </w:p>
    <w:p w:rsidR="00A6567D" w:rsidRDefault="00A6567D" w:rsidP="00A6567D">
      <w:pPr>
        <w:jc w:val="both"/>
        <w:rPr>
          <w:bCs/>
          <w:lang w:val="et-EE"/>
        </w:rPr>
      </w:pPr>
    </w:p>
    <w:p w:rsidR="00A6567D" w:rsidRDefault="00A6567D" w:rsidP="00A6567D">
      <w:pPr>
        <w:jc w:val="both"/>
        <w:rPr>
          <w:bCs/>
          <w:lang w:val="et-EE"/>
        </w:rPr>
      </w:pPr>
      <w:r>
        <w:rPr>
          <w:bCs/>
          <w:lang w:val="et-EE"/>
        </w:rPr>
        <w:t>05</w:t>
      </w:r>
      <w:r w:rsidRPr="00E00356">
        <w:rPr>
          <w:bCs/>
          <w:lang w:val="et-EE"/>
        </w:rPr>
        <w:t>.</w:t>
      </w:r>
      <w:r>
        <w:rPr>
          <w:bCs/>
          <w:lang w:val="et-EE"/>
        </w:rPr>
        <w:t>02</w:t>
      </w:r>
      <w:r w:rsidRPr="00E00356">
        <w:rPr>
          <w:bCs/>
          <w:lang w:val="et-EE"/>
        </w:rPr>
        <w:t>.202</w:t>
      </w:r>
      <w:r>
        <w:rPr>
          <w:bCs/>
          <w:lang w:val="et-EE"/>
        </w:rPr>
        <w:t>1</w:t>
      </w:r>
      <w:r w:rsidRPr="00E00356">
        <w:rPr>
          <w:bCs/>
          <w:lang w:val="et-EE"/>
        </w:rPr>
        <w:t xml:space="preserve"> kõik kaasatud isikud kooskõlastasid tee ehitusprojekti.</w:t>
      </w:r>
    </w:p>
    <w:p w:rsidR="00A6567D" w:rsidRDefault="00A6567D" w:rsidP="00A6567D">
      <w:pPr>
        <w:jc w:val="both"/>
        <w:rPr>
          <w:bCs/>
          <w:lang w:val="et-EE"/>
        </w:rPr>
      </w:pPr>
    </w:p>
    <w:p w:rsidR="00A6567D" w:rsidRDefault="00A6567D" w:rsidP="00A6567D">
      <w:pPr>
        <w:jc w:val="both"/>
        <w:rPr>
          <w:bCs/>
          <w:lang w:val="et-EE"/>
        </w:rPr>
      </w:pPr>
      <w:r w:rsidRPr="00B84C93">
        <w:rPr>
          <w:bCs/>
          <w:lang w:val="et-EE"/>
        </w:rPr>
        <w:t>Esitatud dokumentides ehitusseadustiku § 44 toodud ehitusloa andmisest keeldumise põhjused puuduvad. Seega, tee ehitusloa andmiseks takistusi ei ole.</w:t>
      </w:r>
    </w:p>
    <w:p w:rsidR="00A6567D" w:rsidRDefault="00A6567D" w:rsidP="00A6567D">
      <w:pPr>
        <w:jc w:val="both"/>
        <w:rPr>
          <w:bCs/>
          <w:lang w:val="et-EE"/>
        </w:rPr>
      </w:pPr>
    </w:p>
    <w:p w:rsidR="00A6567D" w:rsidRPr="00B84C93" w:rsidRDefault="00A6567D" w:rsidP="00A6567D">
      <w:pPr>
        <w:numPr>
          <w:ilvl w:val="0"/>
          <w:numId w:val="2"/>
        </w:numPr>
        <w:jc w:val="both"/>
        <w:rPr>
          <w:b/>
          <w:lang w:val="et-EE"/>
        </w:rPr>
      </w:pPr>
      <w:r w:rsidRPr="00B84C93">
        <w:rPr>
          <w:b/>
          <w:lang w:val="et-EE"/>
        </w:rPr>
        <w:t>ÕIGUSLIKUD ALUSED</w:t>
      </w:r>
    </w:p>
    <w:p w:rsidR="00A6567D" w:rsidRPr="00B84C93" w:rsidRDefault="00A6567D" w:rsidP="00A6567D">
      <w:pPr>
        <w:numPr>
          <w:ilvl w:val="1"/>
          <w:numId w:val="2"/>
        </w:numPr>
        <w:ind w:left="567" w:hanging="567"/>
        <w:jc w:val="both"/>
        <w:rPr>
          <w:lang w:val="et-EE"/>
        </w:rPr>
      </w:pPr>
      <w:r w:rsidRPr="00B84C93">
        <w:rPr>
          <w:lang w:val="et-EE"/>
        </w:rPr>
        <w:t>Ehitusseadustiku § 101 lõike 1 kohaselt tee ehitamiseks esitatakse ehitusteatis kohaliku omavalitsuse üksusele või annab kohaliku omavalitsuse üksus ehitusloa.</w:t>
      </w:r>
    </w:p>
    <w:p w:rsidR="00A6567D" w:rsidRPr="00B84C93" w:rsidRDefault="00A6567D" w:rsidP="00A6567D">
      <w:pPr>
        <w:numPr>
          <w:ilvl w:val="1"/>
          <w:numId w:val="2"/>
        </w:numPr>
        <w:ind w:left="567" w:hanging="567"/>
        <w:jc w:val="both"/>
        <w:rPr>
          <w:lang w:val="et-EE"/>
        </w:rPr>
      </w:pPr>
      <w:r w:rsidRPr="00B84C93">
        <w:rPr>
          <w:lang w:val="et-EE"/>
        </w:rPr>
        <w:t>Ehitusseadustiku § 39 lõike 1 kohaselt ehitusloa annab kohaliku omavalitsuse üksus.</w:t>
      </w:r>
    </w:p>
    <w:p w:rsidR="00A6567D" w:rsidRDefault="00A6567D" w:rsidP="00A6567D">
      <w:pPr>
        <w:numPr>
          <w:ilvl w:val="1"/>
          <w:numId w:val="2"/>
        </w:numPr>
        <w:ind w:left="567" w:hanging="540"/>
        <w:jc w:val="both"/>
        <w:rPr>
          <w:lang w:val="et-EE"/>
        </w:rPr>
      </w:pPr>
      <w:r w:rsidRPr="00B84C93">
        <w:rPr>
          <w:lang w:val="et-EE"/>
        </w:rPr>
        <w:t xml:space="preserve">Narva Linnavalitsuse Arhitektuuri- ja Linnaplaneerimise Ameti põhimääruse § 9  </w:t>
      </w:r>
      <w:r>
        <w:rPr>
          <w:lang w:val="et-EE"/>
        </w:rPr>
        <w:t>punkti</w:t>
      </w:r>
      <w:r w:rsidRPr="00B84C93">
        <w:rPr>
          <w:lang w:val="et-EE"/>
        </w:rPr>
        <w:t xml:space="preserve">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A6567D" w:rsidRDefault="00A6567D" w:rsidP="00A6567D">
      <w:pPr>
        <w:numPr>
          <w:ilvl w:val="1"/>
          <w:numId w:val="2"/>
        </w:numPr>
        <w:ind w:left="567" w:hanging="567"/>
        <w:jc w:val="both"/>
        <w:rPr>
          <w:lang w:val="et-EE"/>
        </w:rPr>
      </w:pPr>
      <w:r w:rsidRPr="00091A09">
        <w:rPr>
          <w:lang w:val="et-EE"/>
        </w:rPr>
        <w:t>Ehitusseadustiku § 42 lg 2 kohaselt pädev asutus otsustab keskkonnamõju hindamise algatamise</w:t>
      </w:r>
      <w:r>
        <w:rPr>
          <w:lang w:val="et-EE"/>
        </w:rPr>
        <w:t xml:space="preserve"> </w:t>
      </w:r>
      <w:r w:rsidRPr="00091A09">
        <w:rPr>
          <w:lang w:val="et-EE"/>
        </w:rPr>
        <w:t>vajaduse.</w:t>
      </w:r>
    </w:p>
    <w:p w:rsidR="00A6567D" w:rsidRPr="006345A2" w:rsidRDefault="00A6567D" w:rsidP="00A6567D">
      <w:pPr>
        <w:numPr>
          <w:ilvl w:val="1"/>
          <w:numId w:val="2"/>
        </w:numPr>
        <w:ind w:left="567" w:hanging="567"/>
        <w:jc w:val="both"/>
        <w:rPr>
          <w:lang w:val="et-EE"/>
        </w:rPr>
      </w:pPr>
      <w:r w:rsidRPr="00E75ED5">
        <w:rPr>
          <w:lang w:val="et-EE"/>
        </w:rPr>
        <w:t xml:space="preserve">Ehitusseadustiku § 42 lõike 3 punkti 5 ehitusloa </w:t>
      </w:r>
      <w:proofErr w:type="spellStart"/>
      <w:r w:rsidRPr="00E75ED5">
        <w:rPr>
          <w:lang w:val="et-EE"/>
        </w:rPr>
        <w:t>kõrvaltingimusena</w:t>
      </w:r>
      <w:proofErr w:type="spellEnd"/>
      <w:r w:rsidRPr="00E75ED5">
        <w:rPr>
          <w:lang w:val="et-EE"/>
        </w:rPr>
        <w:t xml:space="preserve"> võib eelkõigi sätestada ehitise või ehitamise keerukusest tulenevad lisatingimused ehitamiseks.</w:t>
      </w:r>
    </w:p>
    <w:p w:rsidR="00A6567D" w:rsidRDefault="00A6567D" w:rsidP="00A6567D">
      <w:pPr>
        <w:ind w:left="360"/>
        <w:jc w:val="both"/>
        <w:rPr>
          <w:b/>
          <w:lang w:val="et-EE"/>
        </w:rPr>
      </w:pPr>
    </w:p>
    <w:p w:rsidR="00A6567D" w:rsidRPr="00B84C93" w:rsidRDefault="00A6567D" w:rsidP="00A6567D">
      <w:pPr>
        <w:numPr>
          <w:ilvl w:val="0"/>
          <w:numId w:val="2"/>
        </w:numPr>
        <w:jc w:val="both"/>
        <w:rPr>
          <w:b/>
          <w:lang w:val="et-EE"/>
        </w:rPr>
      </w:pPr>
      <w:r w:rsidRPr="00B84C93">
        <w:rPr>
          <w:b/>
          <w:lang w:val="et-EE"/>
        </w:rPr>
        <w:t>OTSUS</w:t>
      </w:r>
    </w:p>
    <w:p w:rsidR="00A6567D" w:rsidRDefault="00A6567D" w:rsidP="00A6567D">
      <w:pPr>
        <w:numPr>
          <w:ilvl w:val="1"/>
          <w:numId w:val="2"/>
        </w:numPr>
        <w:ind w:left="567" w:hanging="567"/>
        <w:jc w:val="both"/>
        <w:rPr>
          <w:lang w:val="et-EE"/>
        </w:rPr>
      </w:pPr>
      <w:r w:rsidRPr="00B84C93">
        <w:rPr>
          <w:lang w:val="et-EE"/>
        </w:rPr>
        <w:t xml:space="preserve">Anda tee ehitusluba </w:t>
      </w:r>
      <w:r w:rsidRPr="00DF7134">
        <w:rPr>
          <w:lang w:val="et-EE"/>
        </w:rPr>
        <w:t xml:space="preserve">Albert-August Tiimanni tänav L1 // Albert-August Tiimanni tänav L2 // Albert-August Tiimanni tänav L3 // Vahtra tänav // osaliselt Tallinna maantee L4 avalikult kasutatavate teede ümberehitamiseks ja selle teenindamiseks vajalikute rajatiste ehitamiseks tee ehitusloa taotlus koos tee ehitusprojektiga, töö nr 008-20, </w:t>
      </w:r>
      <w:proofErr w:type="spellStart"/>
      <w:r w:rsidRPr="00DF7134">
        <w:rPr>
          <w:lang w:val="et-EE"/>
        </w:rPr>
        <w:t>peaprojekteerija</w:t>
      </w:r>
      <w:proofErr w:type="spellEnd"/>
      <w:r w:rsidRPr="00DF7134">
        <w:rPr>
          <w:lang w:val="et-EE"/>
        </w:rPr>
        <w:t xml:space="preserve"> Tuulekaru O</w:t>
      </w:r>
      <w:r>
        <w:rPr>
          <w:lang w:val="et-EE"/>
        </w:rPr>
        <w:t>Ü.</w:t>
      </w:r>
    </w:p>
    <w:p w:rsidR="00A6567D" w:rsidRDefault="00A6567D" w:rsidP="00A6567D">
      <w:pPr>
        <w:numPr>
          <w:ilvl w:val="1"/>
          <w:numId w:val="2"/>
        </w:numPr>
        <w:ind w:left="567" w:hanging="567"/>
        <w:jc w:val="both"/>
        <w:rPr>
          <w:lang w:val="et-EE"/>
        </w:rPr>
      </w:pPr>
      <w:r w:rsidRPr="00091A09">
        <w:rPr>
          <w:lang w:val="et-EE"/>
        </w:rPr>
        <w:t>Jätta al</w:t>
      </w:r>
      <w:r>
        <w:rPr>
          <w:lang w:val="et-EE"/>
        </w:rPr>
        <w:t xml:space="preserve">gatamata </w:t>
      </w:r>
      <w:r w:rsidRPr="00DF7134">
        <w:rPr>
          <w:lang w:val="et-EE"/>
        </w:rPr>
        <w:t xml:space="preserve">Albert-August Tiimanni tänav L1 // Albert-August Tiimanni tänav L2 // Albert-August Tiimanni tänav L3 // Vahtra tänav // osaliselt Tallinna maantee L4 </w:t>
      </w:r>
      <w:bookmarkStart w:id="0" w:name="_GoBack"/>
      <w:bookmarkEnd w:id="0"/>
      <w:r w:rsidRPr="00091A09">
        <w:rPr>
          <w:lang w:val="et-EE"/>
        </w:rPr>
        <w:t xml:space="preserve"> keskkonnamõju hindamist.</w:t>
      </w:r>
    </w:p>
    <w:p w:rsidR="00A6567D" w:rsidRPr="00B84C93" w:rsidRDefault="00A6567D" w:rsidP="00A6567D">
      <w:pPr>
        <w:numPr>
          <w:ilvl w:val="1"/>
          <w:numId w:val="2"/>
        </w:numPr>
        <w:ind w:left="567" w:hanging="567"/>
        <w:jc w:val="both"/>
        <w:rPr>
          <w:lang w:val="et-EE"/>
        </w:rPr>
      </w:pPr>
      <w:r w:rsidRPr="006D661D">
        <w:rPr>
          <w:lang w:val="et-EE"/>
        </w:rPr>
        <w:t xml:space="preserve">Kohustada ehitustööde tellijat täitma </w:t>
      </w:r>
      <w:proofErr w:type="spellStart"/>
      <w:r w:rsidRPr="006D661D">
        <w:rPr>
          <w:lang w:val="et-EE"/>
        </w:rPr>
        <w:t>kõrvaltingimused</w:t>
      </w:r>
      <w:proofErr w:type="spellEnd"/>
      <w:r w:rsidRPr="006D661D">
        <w:rPr>
          <w:lang w:val="et-EE"/>
        </w:rPr>
        <w:t>, milleks on käesoleva korralduse punktis 1 toodud  Arhitektuuri- ja Linnaplaneerimise Ameti ja Narva Linna Arenduse ja Ökonoomika Ameti  märkused.</w:t>
      </w:r>
      <w:r w:rsidRPr="00B84C93">
        <w:rPr>
          <w:lang w:val="et-EE"/>
        </w:rPr>
        <w:t xml:space="preserve"> </w:t>
      </w:r>
    </w:p>
    <w:p w:rsidR="00A6567D" w:rsidRDefault="00A6567D" w:rsidP="00A6567D">
      <w:pPr>
        <w:jc w:val="both"/>
        <w:rPr>
          <w:b/>
          <w:lang w:val="et-EE"/>
        </w:rPr>
      </w:pPr>
    </w:p>
    <w:p w:rsidR="00A6567D" w:rsidRPr="00E12352" w:rsidRDefault="00A6567D" w:rsidP="00E12352">
      <w:pPr>
        <w:pStyle w:val="ListParagraph"/>
        <w:numPr>
          <w:ilvl w:val="0"/>
          <w:numId w:val="2"/>
        </w:numPr>
        <w:jc w:val="both"/>
        <w:rPr>
          <w:b/>
          <w:lang w:val="et-EE"/>
        </w:rPr>
      </w:pPr>
      <w:r w:rsidRPr="00E12352">
        <w:rPr>
          <w:b/>
          <w:lang w:val="et-EE"/>
        </w:rPr>
        <w:t xml:space="preserve">RAKENDUSSÄTTED  </w:t>
      </w:r>
    </w:p>
    <w:p w:rsidR="00A6567D" w:rsidRPr="00B84C93" w:rsidRDefault="00E12352" w:rsidP="00E12352">
      <w:pPr>
        <w:jc w:val="both"/>
        <w:rPr>
          <w:lang w:val="et-EE"/>
        </w:rPr>
      </w:pPr>
      <w:r>
        <w:rPr>
          <w:lang w:val="et-EE"/>
        </w:rPr>
        <w:t>4.1.</w:t>
      </w:r>
      <w:r w:rsidR="00A6567D" w:rsidRPr="00B84C93">
        <w:rPr>
          <w:lang w:val="et-EE"/>
        </w:rPr>
        <w:t>Korraldus jõustub seadusega ettenähtud korras.</w:t>
      </w:r>
    </w:p>
    <w:p w:rsidR="00E12352" w:rsidRDefault="00E12352" w:rsidP="00E12352">
      <w:pPr>
        <w:jc w:val="both"/>
        <w:rPr>
          <w:lang w:val="et-EE"/>
        </w:rPr>
      </w:pPr>
      <w:r>
        <w:rPr>
          <w:lang w:val="et-EE"/>
        </w:rPr>
        <w:t>4.2.</w:t>
      </w:r>
      <w:r w:rsidR="00A6567D" w:rsidRPr="00F22761">
        <w:rPr>
          <w:lang w:val="et-EE"/>
        </w:rPr>
        <w:t xml:space="preserve">Käesoleva korralduse peale võib esitada Narva Linnavalitsusele vaide haldusmenetluse </w:t>
      </w:r>
    </w:p>
    <w:p w:rsidR="00E12352" w:rsidRDefault="00E12352" w:rsidP="00E12352">
      <w:pPr>
        <w:jc w:val="both"/>
        <w:rPr>
          <w:lang w:val="et-EE"/>
        </w:rPr>
      </w:pPr>
      <w:r>
        <w:rPr>
          <w:lang w:val="et-EE"/>
        </w:rPr>
        <w:t xml:space="preserve">      </w:t>
      </w:r>
      <w:r w:rsidR="00A6567D" w:rsidRPr="00F22761">
        <w:rPr>
          <w:lang w:val="et-EE"/>
        </w:rPr>
        <w:t xml:space="preserve">seaduses sätestatud korras 30 päeva jooksul arvates korraldusest teadasaamise päevast või </w:t>
      </w:r>
    </w:p>
    <w:p w:rsidR="00E12352" w:rsidRDefault="00E12352" w:rsidP="00E12352">
      <w:pPr>
        <w:jc w:val="both"/>
        <w:rPr>
          <w:lang w:val="et-EE"/>
        </w:rPr>
      </w:pPr>
      <w:r>
        <w:rPr>
          <w:lang w:val="et-EE"/>
        </w:rPr>
        <w:t xml:space="preserve">      </w:t>
      </w:r>
      <w:r w:rsidR="00A6567D" w:rsidRPr="00F22761">
        <w:rPr>
          <w:lang w:val="et-EE"/>
        </w:rPr>
        <w:t xml:space="preserve">esitada kaebuse Tartu Halduskohtu Jõhvi kohtumajale halduskohtumenetluse seadustikus </w:t>
      </w:r>
    </w:p>
    <w:p w:rsidR="00A6567D" w:rsidRPr="00B84C93" w:rsidRDefault="00E12352" w:rsidP="00E12352">
      <w:pPr>
        <w:jc w:val="both"/>
        <w:rPr>
          <w:lang w:val="et-EE"/>
        </w:rPr>
      </w:pPr>
      <w:r>
        <w:rPr>
          <w:lang w:val="et-EE"/>
        </w:rPr>
        <w:t xml:space="preserve">      </w:t>
      </w:r>
      <w:r w:rsidR="00A6567D" w:rsidRPr="00F22761">
        <w:rPr>
          <w:lang w:val="et-EE"/>
        </w:rPr>
        <w:t>sätestatud korras 30 päeva jooksul arvates korralduse teatavakstegemisest.</w:t>
      </w:r>
      <w:r w:rsidR="00A6567D" w:rsidRPr="00B84C93">
        <w:rPr>
          <w:lang w:val="et-EE"/>
        </w:rPr>
        <w:t xml:space="preserve"> </w:t>
      </w:r>
    </w:p>
    <w:p w:rsidR="00A6567D" w:rsidRDefault="00A6567D" w:rsidP="00A6567D">
      <w:pPr>
        <w:rPr>
          <w:lang w:val="et-EE"/>
        </w:rPr>
      </w:pPr>
    </w:p>
    <w:p w:rsidR="00A6567D" w:rsidRDefault="00A6567D" w:rsidP="00A6567D">
      <w:pPr>
        <w:rPr>
          <w:lang w:val="et-EE"/>
        </w:rPr>
      </w:pPr>
    </w:p>
    <w:p w:rsidR="00A6567D" w:rsidRDefault="00A6567D" w:rsidP="00A6567D">
      <w:pPr>
        <w:rPr>
          <w:lang w:val="et-EE"/>
        </w:rPr>
      </w:pPr>
    </w:p>
    <w:p w:rsidR="00A6567D" w:rsidRPr="00B84C93" w:rsidRDefault="00A6567D" w:rsidP="00A6567D">
      <w:pPr>
        <w:rPr>
          <w:lang w:val="et-EE"/>
        </w:rPr>
      </w:pPr>
    </w:p>
    <w:p w:rsidR="00A6567D" w:rsidRDefault="00A6567D" w:rsidP="00A6567D">
      <w:pPr>
        <w:rPr>
          <w:lang w:val="et-EE"/>
        </w:rPr>
      </w:pPr>
      <w:r>
        <w:rPr>
          <w:lang w:val="et-EE"/>
        </w:rPr>
        <w:t xml:space="preserve"> </w:t>
      </w:r>
      <w:r w:rsidRPr="006E50B5">
        <w:rPr>
          <w:lang w:val="et-EE"/>
        </w:rPr>
        <w:t xml:space="preserve"> </w:t>
      </w:r>
      <w:r>
        <w:rPr>
          <w:lang w:val="et-EE"/>
        </w:rPr>
        <w:t xml:space="preserve">    Katri </w:t>
      </w:r>
      <w:proofErr w:type="spellStart"/>
      <w:r>
        <w:rPr>
          <w:lang w:val="et-EE"/>
        </w:rPr>
        <w:t>Raik</w:t>
      </w:r>
      <w:proofErr w:type="spellEnd"/>
      <w:r>
        <w:rPr>
          <w:lang w:val="et-EE"/>
        </w:rPr>
        <w:t xml:space="preserve">                                                                        Üllar Kaljuste</w:t>
      </w:r>
    </w:p>
    <w:p w:rsidR="00A6567D" w:rsidRDefault="00A6567D" w:rsidP="00A6567D">
      <w:pPr>
        <w:rPr>
          <w:lang w:val="et-EE"/>
        </w:rPr>
      </w:pPr>
      <w:r>
        <w:rPr>
          <w:lang w:val="et-EE"/>
        </w:rPr>
        <w:t xml:space="preserve">      Linnapea                                                                          Linnasekretär  </w:t>
      </w:r>
    </w:p>
    <w:p w:rsidR="00A6567D" w:rsidRPr="00B84C93" w:rsidRDefault="00A6567D" w:rsidP="00A6567D">
      <w:pPr>
        <w:rPr>
          <w:lang w:val="et-EE"/>
        </w:rPr>
      </w:pPr>
      <w:r>
        <w:rPr>
          <w:lang w:val="et-EE"/>
        </w:rPr>
        <w:t xml:space="preserve">      </w:t>
      </w:r>
    </w:p>
    <w:p w:rsidR="001F401F" w:rsidRPr="00A6567D" w:rsidRDefault="001F401F">
      <w:pPr>
        <w:rPr>
          <w:lang w:val="et-EE"/>
        </w:rPr>
      </w:pPr>
    </w:p>
    <w:sectPr w:rsidR="001F401F" w:rsidRPr="00A6567D" w:rsidSect="00F31B1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E13"/>
    <w:multiLevelType w:val="multilevel"/>
    <w:tmpl w:val="E2FA4E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474B3AA3"/>
    <w:multiLevelType w:val="hybridMultilevel"/>
    <w:tmpl w:val="11DCA814"/>
    <w:lvl w:ilvl="0" w:tplc="1E7CC210">
      <w:start w:val="1"/>
      <w:numFmt w:val="decimal"/>
      <w:lvlText w:val="%1."/>
      <w:lvlJc w:val="left"/>
      <w:pPr>
        <w:tabs>
          <w:tab w:val="num" w:pos="780"/>
        </w:tabs>
        <w:ind w:left="780" w:hanging="360"/>
      </w:pPr>
      <w:rPr>
        <w:rFonts w:hint="default"/>
      </w:rPr>
    </w:lvl>
    <w:lvl w:ilvl="1" w:tplc="7F2EA49A">
      <w:numFmt w:val="none"/>
      <w:lvlText w:val=""/>
      <w:lvlJc w:val="left"/>
      <w:pPr>
        <w:tabs>
          <w:tab w:val="num" w:pos="360"/>
        </w:tabs>
      </w:pPr>
    </w:lvl>
    <w:lvl w:ilvl="2" w:tplc="3D241E92">
      <w:numFmt w:val="none"/>
      <w:lvlText w:val=""/>
      <w:lvlJc w:val="left"/>
      <w:pPr>
        <w:tabs>
          <w:tab w:val="num" w:pos="360"/>
        </w:tabs>
      </w:pPr>
    </w:lvl>
    <w:lvl w:ilvl="3" w:tplc="249CC468">
      <w:numFmt w:val="none"/>
      <w:lvlText w:val=""/>
      <w:lvlJc w:val="left"/>
      <w:pPr>
        <w:tabs>
          <w:tab w:val="num" w:pos="360"/>
        </w:tabs>
      </w:pPr>
    </w:lvl>
    <w:lvl w:ilvl="4" w:tplc="3DDC721A">
      <w:numFmt w:val="none"/>
      <w:lvlText w:val=""/>
      <w:lvlJc w:val="left"/>
      <w:pPr>
        <w:tabs>
          <w:tab w:val="num" w:pos="360"/>
        </w:tabs>
      </w:pPr>
    </w:lvl>
    <w:lvl w:ilvl="5" w:tplc="CD1A0DA2">
      <w:numFmt w:val="none"/>
      <w:lvlText w:val=""/>
      <w:lvlJc w:val="left"/>
      <w:pPr>
        <w:tabs>
          <w:tab w:val="num" w:pos="360"/>
        </w:tabs>
      </w:pPr>
    </w:lvl>
    <w:lvl w:ilvl="6" w:tplc="5C246180">
      <w:numFmt w:val="none"/>
      <w:lvlText w:val=""/>
      <w:lvlJc w:val="left"/>
      <w:pPr>
        <w:tabs>
          <w:tab w:val="num" w:pos="360"/>
        </w:tabs>
      </w:pPr>
    </w:lvl>
    <w:lvl w:ilvl="7" w:tplc="D4AEC894">
      <w:numFmt w:val="none"/>
      <w:lvlText w:val=""/>
      <w:lvlJc w:val="left"/>
      <w:pPr>
        <w:tabs>
          <w:tab w:val="num" w:pos="360"/>
        </w:tabs>
      </w:pPr>
    </w:lvl>
    <w:lvl w:ilvl="8" w:tplc="949CA066">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7D"/>
    <w:rsid w:val="001F401F"/>
    <w:rsid w:val="00A6567D"/>
    <w:rsid w:val="00E12352"/>
    <w:rsid w:val="00EF7E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5DDDE-0E71-4939-959D-D964E834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7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567D"/>
    <w:pPr>
      <w:spacing w:before="100" w:beforeAutospacing="1" w:after="100" w:afterAutospacing="1"/>
    </w:pPr>
    <w:rPr>
      <w:color w:val="000000"/>
    </w:rPr>
  </w:style>
  <w:style w:type="paragraph" w:styleId="Caption">
    <w:name w:val="caption"/>
    <w:basedOn w:val="Normal"/>
    <w:next w:val="Normal"/>
    <w:qFormat/>
    <w:rsid w:val="00A6567D"/>
    <w:pPr>
      <w:ind w:left="720"/>
    </w:pPr>
    <w:rPr>
      <w:b/>
      <w:bCs/>
      <w:sz w:val="22"/>
      <w:szCs w:val="27"/>
    </w:rPr>
  </w:style>
  <w:style w:type="paragraph" w:styleId="ListParagraph">
    <w:name w:val="List Paragraph"/>
    <w:basedOn w:val="Normal"/>
    <w:uiPriority w:val="34"/>
    <w:qFormat/>
    <w:rsid w:val="00E12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944</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2</cp:revision>
  <dcterms:created xsi:type="dcterms:W3CDTF">2021-02-16T08:23:00Z</dcterms:created>
  <dcterms:modified xsi:type="dcterms:W3CDTF">2021-02-16T08:38:00Z</dcterms:modified>
</cp:coreProperties>
</file>