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67874" w:rsidTr="00467874">
        <w:trPr>
          <w:tblCellSpacing w:w="0" w:type="dxa"/>
        </w:trPr>
        <w:tc>
          <w:tcPr>
            <w:tcW w:w="5000" w:type="pct"/>
            <w:hideMark/>
          </w:tcPr>
          <w:p w:rsidR="00467874" w:rsidRDefault="00467874">
            <w:pPr>
              <w:spacing w:after="0" w:line="240" w:lineRule="auto"/>
              <w:ind w:left="39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Eelnõu</w:t>
            </w:r>
          </w:p>
          <w:p w:rsidR="00467874" w:rsidRDefault="004678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NARVA LINNAVALITSUS</w:t>
            </w:r>
          </w:p>
        </w:tc>
      </w:tr>
    </w:tbl>
    <w:p w:rsidR="00467874" w:rsidRDefault="00467874" w:rsidP="004678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KORRALDUS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7"/>
        <w:gridCol w:w="6362"/>
      </w:tblGrid>
      <w:tr w:rsidR="00467874" w:rsidTr="00467874">
        <w:trPr>
          <w:tblCellSpacing w:w="0" w:type="dxa"/>
        </w:trPr>
        <w:tc>
          <w:tcPr>
            <w:tcW w:w="1700" w:type="pct"/>
            <w:hideMark/>
          </w:tcPr>
          <w:p w:rsidR="00467874" w:rsidRDefault="0046787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Narva</w:t>
            </w:r>
          </w:p>
        </w:tc>
        <w:tc>
          <w:tcPr>
            <w:tcW w:w="3300" w:type="pct"/>
            <w:hideMark/>
          </w:tcPr>
          <w:p w:rsidR="00467874" w:rsidRDefault="0046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……………..2021</w:t>
            </w:r>
            <w:r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nr </w:t>
            </w:r>
          </w:p>
        </w:tc>
      </w:tr>
      <w:tr w:rsidR="00467874" w:rsidTr="00467874">
        <w:trPr>
          <w:tblCellSpacing w:w="0" w:type="dxa"/>
        </w:trPr>
        <w:tc>
          <w:tcPr>
            <w:tcW w:w="1700" w:type="pct"/>
          </w:tcPr>
          <w:p w:rsidR="00467874" w:rsidRDefault="00467874">
            <w:pPr>
              <w:keepNext/>
              <w:spacing w:after="0" w:line="240" w:lineRule="auto"/>
              <w:ind w:left="72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00" w:type="pct"/>
          </w:tcPr>
          <w:p w:rsidR="00467874" w:rsidRDefault="00467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7874" w:rsidRDefault="00467874" w:rsidP="0046787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Kasutusloa andmine (Mureli tn 4)</w:t>
      </w:r>
    </w:p>
    <w:p w:rsidR="00467874" w:rsidRDefault="00467874" w:rsidP="0046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numPr>
          <w:ilvl w:val="0"/>
          <w:numId w:val="3"/>
        </w:num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ASJAOLUD JA MENETLUSE KÄIK</w:t>
      </w:r>
    </w:p>
    <w:p w:rsidR="00467874" w:rsidRDefault="004719DA" w:rsidP="0046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02.03.2021</w:t>
      </w:r>
      <w:r w:rsidR="00467874">
        <w:rPr>
          <w:rFonts w:ascii="Times New Roman" w:eastAsia="Times New Roman" w:hAnsi="Times New Roman" w:cs="Times New Roman"/>
          <w:sz w:val="24"/>
          <w:szCs w:val="24"/>
        </w:rPr>
        <w:t>.a laekus</w:t>
      </w:r>
      <w:r w:rsidR="00467874">
        <w:rPr>
          <w:rFonts w:ascii="Times New Roman" w:eastAsia="Times New Roman" w:hAnsi="Times New Roman" w:cs="Times New Roman"/>
          <w:bCs/>
          <w:sz w:val="24"/>
          <w:szCs w:val="24"/>
        </w:rPr>
        <w:t xml:space="preserve"> omanikult ehitisregistri keskkonda</w:t>
      </w:r>
      <w:r w:rsidR="00467874">
        <w:rPr>
          <w:rFonts w:ascii="Times New Roman" w:eastAsia="Times New Roman" w:hAnsi="Times New Roman" w:cs="Times New Roman"/>
          <w:sz w:val="24"/>
          <w:szCs w:val="24"/>
        </w:rPr>
        <w:t xml:space="preserve"> läbi vaatamiseks Mureli tn 4 kinnistule, katastritunnus</w:t>
      </w:r>
      <w:r w:rsidR="00467874">
        <w:rPr>
          <w:sz w:val="24"/>
          <w:szCs w:val="24"/>
        </w:rPr>
        <w:t xml:space="preserve"> </w:t>
      </w:r>
      <w:r w:rsidR="00467874">
        <w:rPr>
          <w:rFonts w:ascii="Times New Roman" w:eastAsia="Times New Roman" w:hAnsi="Times New Roman" w:cs="Times New Roman"/>
          <w:sz w:val="24"/>
          <w:szCs w:val="24"/>
        </w:rPr>
        <w:t>51107:027:0150, püstitatud saunahoonele,</w:t>
      </w:r>
      <w:r w:rsidR="00467874">
        <w:rPr>
          <w:sz w:val="24"/>
          <w:szCs w:val="24"/>
        </w:rPr>
        <w:t xml:space="preserve"> </w:t>
      </w:r>
      <w:r w:rsidR="00467874">
        <w:rPr>
          <w:rFonts w:ascii="Times New Roman" w:eastAsia="Times New Roman" w:hAnsi="Times New Roman" w:cs="Times New Roman"/>
          <w:sz w:val="24"/>
          <w:szCs w:val="24"/>
        </w:rPr>
        <w:t>ehitisregistri kood 120635897, koos kanalisatsioonitorustikuga, ehitisregistri kood 220818000, ning heitvee kogumismahutiga,</w:t>
      </w:r>
      <w:r w:rsidR="00467874">
        <w:rPr>
          <w:sz w:val="24"/>
          <w:szCs w:val="24"/>
        </w:rPr>
        <w:t xml:space="preserve"> </w:t>
      </w:r>
      <w:r w:rsidR="00467874">
        <w:rPr>
          <w:rFonts w:ascii="Times New Roman" w:eastAsia="Times New Roman" w:hAnsi="Times New Roman" w:cs="Times New Roman"/>
          <w:sz w:val="24"/>
          <w:szCs w:val="24"/>
        </w:rPr>
        <w:t>ehitisregistri kood 220818009, kasutusloa taotlus nr 2111371/04700. Taotlusele on ehitusprojekti asemel lisatud saunahoone auditi aruanne  „</w:t>
      </w:r>
      <w:hyperlink r:id="rId5" w:history="1">
        <w:proofErr w:type="spellStart"/>
        <w:r w:rsidR="00467874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>Mureli</w:t>
        </w:r>
        <w:proofErr w:type="spellEnd"/>
        <w:r w:rsidR="00467874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 xml:space="preserve"> </w:t>
        </w:r>
        <w:proofErr w:type="spellStart"/>
        <w:r w:rsidR="00467874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>tn</w:t>
        </w:r>
        <w:proofErr w:type="spellEnd"/>
        <w:r w:rsidR="00467874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 xml:space="preserve"> 4 sauna </w:t>
        </w:r>
        <w:proofErr w:type="spellStart"/>
        <w:r w:rsidR="00467874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>auditi</w:t>
        </w:r>
        <w:proofErr w:type="spellEnd"/>
        <w:r w:rsidR="00467874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 xml:space="preserve"> </w:t>
        </w:r>
        <w:proofErr w:type="spellStart"/>
        <w:r w:rsidR="00467874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>aruanne</w:t>
        </w:r>
        <w:proofErr w:type="spellEnd"/>
        <w:r w:rsidR="00467874">
          <w:rPr>
            <w:rStyle w:val="Hyperlink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bdr w:val="none" w:sz="0" w:space="0" w:color="auto" w:frame="1"/>
            <w:lang w:val="en-US"/>
          </w:rPr>
          <w:t>. 3420_TJ_v03_Mureli4_2021-05-12.asice</w:t>
        </w:r>
      </w:hyperlink>
      <w:r w:rsidR="00467874">
        <w:rPr>
          <w:rFonts w:ascii="Times New Roman" w:eastAsia="Times New Roman" w:hAnsi="Times New Roman" w:cs="Times New Roman"/>
          <w:sz w:val="24"/>
          <w:szCs w:val="24"/>
        </w:rPr>
        <w:t>“, koostaja FIE</w:t>
      </w:r>
      <w:r w:rsidR="00467874">
        <w:rPr>
          <w:sz w:val="24"/>
          <w:szCs w:val="24"/>
        </w:rPr>
        <w:t xml:space="preserve"> </w:t>
      </w:r>
      <w:proofErr w:type="spellStart"/>
      <w:r w:rsidR="00467874">
        <w:rPr>
          <w:rFonts w:ascii="Times New Roman" w:eastAsia="Times New Roman" w:hAnsi="Times New Roman" w:cs="Times New Roman"/>
          <w:sz w:val="24"/>
          <w:szCs w:val="24"/>
        </w:rPr>
        <w:t>Lolita</w:t>
      </w:r>
      <w:proofErr w:type="spellEnd"/>
      <w:r w:rsidR="004678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7874">
        <w:rPr>
          <w:rFonts w:ascii="Times New Roman" w:eastAsia="Times New Roman" w:hAnsi="Times New Roman" w:cs="Times New Roman"/>
          <w:sz w:val="24"/>
          <w:szCs w:val="24"/>
        </w:rPr>
        <w:t>Zastrožinova</w:t>
      </w:r>
      <w:proofErr w:type="spellEnd"/>
      <w:r w:rsidR="004678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67874" w:rsidRDefault="004719DA" w:rsidP="0046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3E16" w:rsidRPr="00243E16">
        <w:rPr>
          <w:rFonts w:ascii="Times New Roman" w:eastAsia="Times New Roman" w:hAnsi="Times New Roman" w:cs="Times New Roman"/>
          <w:sz w:val="24"/>
          <w:szCs w:val="24"/>
        </w:rPr>
        <w:t xml:space="preserve">Ehitisregistri andmetel 06.05.2011. a saunahoone püstitamiseks on antud ehitusluba nr 20798. Maa-ameti </w:t>
      </w:r>
      <w:proofErr w:type="spellStart"/>
      <w:r w:rsidR="00243E16" w:rsidRPr="00243E16">
        <w:rPr>
          <w:rFonts w:ascii="Times New Roman" w:eastAsia="Times New Roman" w:hAnsi="Times New Roman" w:cs="Times New Roman"/>
          <w:sz w:val="24"/>
          <w:szCs w:val="24"/>
        </w:rPr>
        <w:t>ortofoto</w:t>
      </w:r>
      <w:proofErr w:type="spellEnd"/>
      <w:r w:rsidR="00243E16" w:rsidRPr="00243E16">
        <w:rPr>
          <w:rFonts w:ascii="Times New Roman" w:eastAsia="Times New Roman" w:hAnsi="Times New Roman" w:cs="Times New Roman"/>
          <w:sz w:val="24"/>
          <w:szCs w:val="24"/>
        </w:rPr>
        <w:t xml:space="preserve"> andmetel o</w:t>
      </w:r>
      <w:r w:rsidR="00243E16">
        <w:rPr>
          <w:rFonts w:ascii="Times New Roman" w:eastAsia="Times New Roman" w:hAnsi="Times New Roman" w:cs="Times New Roman"/>
          <w:sz w:val="24"/>
          <w:szCs w:val="24"/>
        </w:rPr>
        <w:t>li 2013.a saunahoone püstitatud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67874">
        <w:rPr>
          <w:rFonts w:ascii="Times New Roman" w:eastAsia="Times New Roman" w:hAnsi="Times New Roman" w:cs="Times New Roman"/>
          <w:sz w:val="24"/>
          <w:szCs w:val="24"/>
        </w:rPr>
        <w:t xml:space="preserve">Auditi aruande kohaselt „hoone vastab oma otstarbele ja seda võib kasutada saunana 4 kuud aastas. Sauna on heas seisundis, kasutusviis on ohutu, ei ole tuleohtlik. Ehitis ei avalda negatiivset mõju </w:t>
      </w:r>
      <w:proofErr w:type="spellStart"/>
      <w:r w:rsidR="00467874">
        <w:rPr>
          <w:rFonts w:ascii="Times New Roman" w:eastAsia="Times New Roman" w:hAnsi="Times New Roman" w:cs="Times New Roman"/>
          <w:sz w:val="24"/>
          <w:szCs w:val="24"/>
        </w:rPr>
        <w:t>ümberitsevale</w:t>
      </w:r>
      <w:proofErr w:type="spellEnd"/>
      <w:r w:rsidR="00467874">
        <w:rPr>
          <w:rFonts w:ascii="Times New Roman" w:eastAsia="Times New Roman" w:hAnsi="Times New Roman" w:cs="Times New Roman"/>
          <w:sz w:val="24"/>
          <w:szCs w:val="24"/>
        </w:rPr>
        <w:t xml:space="preserve"> keskkonnale“.</w:t>
      </w:r>
    </w:p>
    <w:p w:rsidR="00467874" w:rsidRDefault="00467874" w:rsidP="0046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Ehitusseadustiku ja planeerimisseaduse rakendamise seaduse § 29 lg 6 kohaselt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ehitise ohutuse hindamisel võetakse aluseks ehitusprojekt.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Ehitusprojekti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puudumisel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tehakse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ehitise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ohutuse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hindamiseks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ehitise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audit.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Ehitise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auditi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tulemusel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peab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olema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võimalik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kanda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ehitise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olulisemad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tehnilised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andmed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ehitisregistrisse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ning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vajaduse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korral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tuvastada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ehitise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vastavus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detailplaneeringule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või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projekteerimistingimustele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Ehitise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auditi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tellib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omanik</w:t>
      </w:r>
      <w:proofErr w:type="spellEnd"/>
      <w:r>
        <w:rPr>
          <w:rFonts w:ascii="Times New Roman" w:eastAsia="Times New Roman" w:hAnsi="Times New Roman" w:cs="Times New Roman"/>
          <w:color w:val="202020"/>
          <w:sz w:val="24"/>
          <w:szCs w:val="24"/>
          <w:shd w:val="clear" w:color="auto" w:fill="FFFFFF"/>
          <w:lang w:val="en-US"/>
        </w:rPr>
        <w:t>.</w:t>
      </w:r>
    </w:p>
    <w:p w:rsidR="00467874" w:rsidRDefault="00467874" w:rsidP="0046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04.03.2021 on ehitisregistri keskkonnas, koduleht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www.ehr.ee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genereeritud kasutusloa eelnõu nr 2112371/04502, menetluse nr 249996, mis suunati ehitisregistri kaudu</w:t>
      </w:r>
      <w:r>
        <w:rPr>
          <w:rFonts w:ascii="Times New Roman" w:eastAsia="Times New Roman" w:hAnsi="Times New Roman" w:cs="Times New Roman"/>
          <w:color w:val="0066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kooskõlastamiseks Arhitektuuri- ja Linnaplaneerimise Ameti geodeesia ja maakorralduse osakonnale, arhitektuuri ja planeerimise osakonnale ning Päästeameti Ida Päästekeskusele</w:t>
      </w:r>
      <w:r>
        <w:rPr>
          <w:rFonts w:ascii="Times New Roman" w:eastAsia="Times New Roman" w:hAnsi="Times New Roman" w:cs="Times New Roman"/>
          <w:color w:val="006666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Kasutusloa menetlus toimus ehitisregistri elektroonilises keskkonnas. Koos taotlusega esitatud dokumentatsioonis on avastatud puudused ning kasutusloa taotlus on puuduste kõrvaldamiseks ehitisregistri elektroonilise keskkonna kaudu tagastatud.</w:t>
      </w:r>
    </w:p>
    <w:p w:rsidR="00467874" w:rsidRDefault="00467874" w:rsidP="0046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12.05.2021 laekus ehitisregistri elektroonilisse keskkonda kõrvaldatud puudustega kasutusloa taotlus nr 2111371/04700-3 ning on genereeritud uus kasutusloa eelnõu nr 2112371/04502-3. </w:t>
      </w:r>
    </w:p>
    <w:p w:rsidR="00467874" w:rsidRDefault="00467874" w:rsidP="0046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02-06.2021 kooskõlastasid kõik menetlusse kaasatud isikud kasutusloa väljastamiseks kasutusloa taotluse. </w:t>
      </w:r>
    </w:p>
    <w:p w:rsidR="00467874" w:rsidRDefault="00467874" w:rsidP="0046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Vastavalt ehitusseadustiku § 55 kohaselt kasutusloa andmisest keeldumise põhjused puuduvad ning </w:t>
      </w:r>
      <w:r w:rsidR="007B5358">
        <w:rPr>
          <w:rFonts w:ascii="Times New Roman" w:eastAsia="Times New Roman" w:hAnsi="Times New Roman" w:cs="Times New Roman"/>
          <w:sz w:val="24"/>
          <w:szCs w:val="24"/>
        </w:rPr>
        <w:t>saunahoonele koos kanalisatsioonitorustiku ning heitvee kogumismahutiga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võib anda kasutusloa.</w:t>
      </w:r>
    </w:p>
    <w:p w:rsidR="00467874" w:rsidRDefault="00467874" w:rsidP="0046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  ÕIGUSLIKUD ALUSED</w:t>
      </w:r>
    </w:p>
    <w:p w:rsidR="00467874" w:rsidRDefault="00467874" w:rsidP="00467874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Ehitusseadustiku § 51 lõike 1 kohaselt kasutusloa annab kohaliku omavalitsuse üksus, kui seadusega ei ole sätestatud teisiti.</w:t>
      </w:r>
    </w:p>
    <w:p w:rsidR="00467874" w:rsidRDefault="00467874" w:rsidP="00467874">
      <w:pP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Narva Linnavalitsuse Arhitektuuri- ja Linnaplaneerimise Ameti põhimääruse § 9  punkti 2 kohaselt järelevalve osakonna põhiülesandeks on ehitus- ja kasutuslubade taotluste menetlemine ning linnavalitsuse vastavasisuliste korralduste ettevalmistamine, mille alusel toimub ehitusloa või kasutusloa andmine, muutmine, kehtetuks tunnistamine või keeldumine andmisest.</w:t>
      </w:r>
    </w:p>
    <w:p w:rsidR="00467874" w:rsidRDefault="00467874" w:rsidP="00467874">
      <w:pPr>
        <w:spacing w:after="0" w:line="240" w:lineRule="auto"/>
        <w:ind w:left="510" w:hanging="5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 OTSUS</w:t>
      </w:r>
    </w:p>
    <w:p w:rsidR="00467874" w:rsidRDefault="00467874" w:rsidP="0046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Anda Mureli tn 4 kinnistul olevale saunahoonele koos kanalisatsioonitorustikuga ning heitvee kogumismahutiga kasutusluba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auditi aruanne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töö nr 34-2020, koostaja FIE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Lolita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Zastrožinova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67874" w:rsidRDefault="00467874" w:rsidP="004678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RAKENDUSSÄTTED</w:t>
      </w:r>
    </w:p>
    <w:p w:rsidR="00467874" w:rsidRDefault="00467874" w:rsidP="0046787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Korraldus jõustub seadusega sätestatud korras. </w:t>
      </w:r>
    </w:p>
    <w:p w:rsidR="00467874" w:rsidRDefault="00467874" w:rsidP="00467874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4.2.Käesoleva korralduse peale võib esitada Narva Linnavalitsusele vaide haldusmenetluse seaduses sätestatud korras 30 päeva jooksul arvates korraldusest teadasaamise päevast või esitada kaebuse Tartu 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Halduskohtu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Jõhvi kohtumajale halduskohtumenetluse seadustikus sätestatud korras 30 päeva jooksul arvates korralduse teatavakstegemisest.  </w:t>
      </w:r>
    </w:p>
    <w:p w:rsidR="00467874" w:rsidRDefault="00467874" w:rsidP="0046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spacing w:after="0" w:line="240" w:lineRule="auto"/>
        <w:ind w:right="425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7874" w:rsidRDefault="00467874" w:rsidP="0046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Katri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Üllar Kaljuste</w:t>
      </w:r>
    </w:p>
    <w:p w:rsidR="00467874" w:rsidRDefault="00467874" w:rsidP="004678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Linnapea                                                                            Linnasekretär</w:t>
      </w:r>
    </w:p>
    <w:p w:rsidR="00467874" w:rsidRDefault="00467874" w:rsidP="00467874">
      <w:pPr>
        <w:rPr>
          <w:sz w:val="24"/>
          <w:szCs w:val="24"/>
        </w:rPr>
      </w:pPr>
    </w:p>
    <w:p w:rsidR="001F401F" w:rsidRPr="00467874" w:rsidRDefault="001F401F" w:rsidP="00467874"/>
    <w:sectPr w:rsidR="001F401F" w:rsidRPr="00467874" w:rsidSect="00F665A6">
      <w:pgSz w:w="11907" w:h="16840" w:code="9"/>
      <w:pgMar w:top="426" w:right="708" w:bottom="899" w:left="156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B66E8"/>
    <w:multiLevelType w:val="multilevel"/>
    <w:tmpl w:val="320416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D3270DE"/>
    <w:multiLevelType w:val="hybridMultilevel"/>
    <w:tmpl w:val="CFE06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F40"/>
    <w:rsid w:val="001F401F"/>
    <w:rsid w:val="002413B9"/>
    <w:rsid w:val="00243E16"/>
    <w:rsid w:val="00467874"/>
    <w:rsid w:val="004719DA"/>
    <w:rsid w:val="005F1530"/>
    <w:rsid w:val="007B5358"/>
    <w:rsid w:val="00D22F40"/>
    <w:rsid w:val="00E8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054A8-8199-47DA-8D17-2BE9B457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787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7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hr.ee" TargetMode="External"/><Relationship Id="rId5" Type="http://schemas.openxmlformats.org/officeDocument/2006/relationships/hyperlink" Target="https://id.ehr.ee/ehr/app/w/page?18-1.ILinkListener-form-tabsContainer-box2TabContent-treeForm-content-treeForm-fileTreePanel-tree-table-body-rows-2-cells-1-cell-content-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Narva Linnakantselei</Company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Uuskula</dc:creator>
  <cp:keywords/>
  <dc:description/>
  <cp:lastModifiedBy>Jegor Tšumakov</cp:lastModifiedBy>
  <cp:revision>2</cp:revision>
  <dcterms:created xsi:type="dcterms:W3CDTF">2021-06-08T11:35:00Z</dcterms:created>
  <dcterms:modified xsi:type="dcterms:W3CDTF">2021-06-08T11:35:00Z</dcterms:modified>
</cp:coreProperties>
</file>