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2068B" w:rsidTr="00A457B7">
        <w:trPr>
          <w:tblCellSpacing w:w="0" w:type="dxa"/>
        </w:trPr>
        <w:tc>
          <w:tcPr>
            <w:tcW w:w="5000" w:type="pct"/>
            <w:hideMark/>
          </w:tcPr>
          <w:p w:rsidR="0012068B" w:rsidRDefault="0012068B" w:rsidP="00A457B7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12068B" w:rsidRDefault="0012068B" w:rsidP="00A45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12068B" w:rsidRDefault="0012068B" w:rsidP="001206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12068B" w:rsidTr="00A457B7">
        <w:trPr>
          <w:tblCellSpacing w:w="0" w:type="dxa"/>
        </w:trPr>
        <w:tc>
          <w:tcPr>
            <w:tcW w:w="1700" w:type="pct"/>
            <w:hideMark/>
          </w:tcPr>
          <w:p w:rsidR="0012068B" w:rsidRDefault="0012068B" w:rsidP="00A457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12068B" w:rsidRDefault="0012068B" w:rsidP="00A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……………..2021</w:t>
            </w:r>
            <w: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12068B" w:rsidTr="00A457B7">
        <w:trPr>
          <w:tblCellSpacing w:w="0" w:type="dxa"/>
        </w:trPr>
        <w:tc>
          <w:tcPr>
            <w:tcW w:w="1700" w:type="pct"/>
          </w:tcPr>
          <w:p w:rsidR="0012068B" w:rsidRDefault="0012068B" w:rsidP="00A457B7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12068B" w:rsidRDefault="0012068B" w:rsidP="00A4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068B" w:rsidRDefault="0012068B" w:rsidP="001206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 (Tasane tn 21)</w:t>
      </w: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01.07.2021.a laekus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omanikult ehitisregistri keskkonda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läbi vaatamiseks Tasane tn 21 kinnistule, katastritunnus</w:t>
      </w:r>
      <w:r>
        <w:rPr>
          <w:sz w:val="24"/>
          <w:szCs w:val="24"/>
        </w:rPr>
        <w:t xml:space="preserve">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51108:002:0053</w:t>
      </w:r>
      <w:r>
        <w:rPr>
          <w:rFonts w:ascii="Times New Roman" w:eastAsia="Times New Roman" w:hAnsi="Times New Roman" w:cs="Times New Roman"/>
          <w:sz w:val="24"/>
          <w:szCs w:val="24"/>
        </w:rPr>
        <w:t>, püstitatud aiamajale,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ehitisregistri kood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120842287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kasutusloa taotlus nr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2111371/14649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Taotlusele on ehitusprojekti asemel lisatud aiamajahoone auditi aruanne 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“</w:t>
        </w:r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EhAudit_Aiamaja_TasaneTn21.asice </w:t>
        </w:r>
        <w:proofErr w:type="spellStart"/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Viide</w:t>
        </w:r>
        <w:proofErr w:type="spellEnd"/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: </w:t>
        </w:r>
        <w:proofErr w:type="spellStart"/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Ehitise</w:t>
        </w:r>
        <w:proofErr w:type="spellEnd"/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auditi</w:t>
        </w:r>
        <w:proofErr w:type="spellEnd"/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 w:rsidRPr="00E934D2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aruanne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“, koostaja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 xml:space="preserve">Osaühing </w:t>
      </w:r>
      <w:proofErr w:type="spellStart"/>
      <w:r w:rsidRPr="00E934D2">
        <w:rPr>
          <w:rFonts w:ascii="Times New Roman" w:eastAsia="Times New Roman" w:hAnsi="Times New Roman" w:cs="Times New Roman"/>
          <w:sz w:val="24"/>
          <w:szCs w:val="24"/>
        </w:rPr>
        <w:t>Ösel</w:t>
      </w:r>
      <w:proofErr w:type="spellEnd"/>
      <w:r w:rsidRPr="00E93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34D2">
        <w:rPr>
          <w:rFonts w:ascii="Times New Roman" w:eastAsia="Times New Roman" w:hAnsi="Times New Roman" w:cs="Times New Roman"/>
          <w:sz w:val="24"/>
          <w:szCs w:val="24"/>
        </w:rPr>
        <w:t>Consulting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Ehitisregistri andmetel Tasane tn 21 kinnistule aiamaja püstitamiseks ehitusluba on andmata.  Auditi aruande kohaselt „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hoone põhilistes kandekonstruktsioonides ei ole märgata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defekte, mis viitaksid hoone ebastabiilsusele, seega hoone põhikandekonstruktsioonid: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 xml:space="preserve">vundament, kandeseinad, vahelagi, </w:t>
      </w:r>
      <w:proofErr w:type="spellStart"/>
      <w:r w:rsidRPr="00E934D2">
        <w:rPr>
          <w:rFonts w:ascii="Times New Roman" w:eastAsia="Times New Roman" w:hAnsi="Times New Roman" w:cs="Times New Roman"/>
          <w:sz w:val="24"/>
          <w:szCs w:val="24"/>
        </w:rPr>
        <w:t>välistrepid</w:t>
      </w:r>
      <w:proofErr w:type="spellEnd"/>
      <w:r w:rsidRPr="00E934D2">
        <w:rPr>
          <w:rFonts w:ascii="Times New Roman" w:eastAsia="Times New Roman" w:hAnsi="Times New Roman" w:cs="Times New Roman"/>
          <w:sz w:val="24"/>
          <w:szCs w:val="24"/>
        </w:rPr>
        <w:t xml:space="preserve"> ning katuse kandeelemendid, on püsivad 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kanne tagatud</w:t>
      </w:r>
      <w:r>
        <w:rPr>
          <w:rFonts w:ascii="Times New Roman" w:eastAsia="Times New Roman" w:hAnsi="Times New Roman" w:cs="Times New Roman"/>
          <w:sz w:val="24"/>
          <w:szCs w:val="24"/>
        </w:rPr>
        <w:t>“. Aiamajasse paigaldatud elektripaigaldise kohta on 13.05.2020 on koostatud „Elektripaigaldise erakorraline audit“, mille otsuse kohaselt „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Elektripaigaldis või selle osa vastab kehtestatud 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utusnõuetele ja seda võib </w:t>
      </w:r>
      <w:r w:rsidRPr="00E934D2">
        <w:rPr>
          <w:rFonts w:ascii="Times New Roman" w:eastAsia="Times New Roman" w:hAnsi="Times New Roman" w:cs="Times New Roman"/>
          <w:sz w:val="24"/>
          <w:szCs w:val="24"/>
        </w:rPr>
        <w:t>ettenähtud otstarbel kasutada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Ehitusseadustiku ja planeerimisseaduse rakendamise seaduse § 29 lg 6 kohaselt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ehitise ohutuse hindamisel võetakse aluseks ehitusprojekt.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Ehitusprojekti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puudumisel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tehakse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ohutuse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hindamiseks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audit.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auditi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tulemusel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peab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olema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võimalik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kanda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olulisemad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tehnilised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andmed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ehitisregistrisse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ning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vajaduse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korral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tuvastada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vastavus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detailplaneeringule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või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projekteerimistingimustele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auditi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tellib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omanik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.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02.07.2021 on ehitisregistri keskkonnas, koduleht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www.ehr.ee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genereeritud kasutusloa eelnõu nr </w:t>
      </w:r>
      <w:r w:rsidRPr="00C63223">
        <w:rPr>
          <w:rFonts w:ascii="Times New Roman" w:eastAsia="Times New Roman" w:hAnsi="Times New Roman" w:cs="Times New Roman"/>
          <w:sz w:val="24"/>
          <w:szCs w:val="24"/>
        </w:rPr>
        <w:t>2112371/12105</w:t>
      </w:r>
      <w:r>
        <w:rPr>
          <w:rFonts w:ascii="Times New Roman" w:eastAsia="Times New Roman" w:hAnsi="Times New Roman" w:cs="Times New Roman"/>
          <w:sz w:val="24"/>
          <w:szCs w:val="24"/>
        </w:rPr>
        <w:t>, menetluse nr 265531, mis suunati ehitisregistri kaudu</w:t>
      </w:r>
      <w:r>
        <w:rPr>
          <w:rFonts w:ascii="Times New Roman" w:eastAsia="Times New Roman" w:hAnsi="Times New Roman" w:cs="Times New Roman"/>
          <w:color w:val="0066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kooskõlastamiseks Arhitektuuri- ja Linnaplaneerimise Ameti geodeesia ja maakorralduse osakonnale, arhitektuuri ja planeerimise osakonnale, järelevalve osakonnale ning Päästeameti Ida Päästekeskusele</w:t>
      </w:r>
      <w:r>
        <w:rPr>
          <w:rFonts w:ascii="Times New Roman" w:eastAsia="Times New Roman" w:hAnsi="Times New Roman" w:cs="Times New Roman"/>
          <w:color w:val="006666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Kasutusloa menetlus toimus ehitisregistri elektroonilises keskkonnas. Koos taotlusega esitatud dokumentatsioonis on avastatud puudused ning kasutusloa taotlus on puuduste kõrvaldamiseks ehitisregistri elektroonilise keskkonna kaudu tagastatud.</w:t>
      </w: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10.08.2021 laekus ehitisregistri elektroonilisse keskkonda kõrvaldatud puudustega kasutusloa taotlus nr </w:t>
      </w:r>
      <w:r w:rsidRPr="00C63223">
        <w:rPr>
          <w:rFonts w:ascii="Times New Roman" w:eastAsia="Times New Roman" w:hAnsi="Times New Roman" w:cs="Times New Roman"/>
          <w:sz w:val="24"/>
          <w:szCs w:val="24"/>
        </w:rPr>
        <w:t>2111371/14649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-3 ning on genereeritud uus kasutusloa eelnõu nr </w:t>
      </w:r>
      <w:r w:rsidRPr="00C63223">
        <w:rPr>
          <w:rFonts w:ascii="Times New Roman" w:eastAsia="Times New Roman" w:hAnsi="Times New Roman" w:cs="Times New Roman"/>
          <w:sz w:val="24"/>
          <w:szCs w:val="24"/>
        </w:rPr>
        <w:t>2112371/12105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-3. 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10.08.2021 kooskõlastasid kõik menetlusse kaasatud isikud kasutusloa väljastamiseks kasutusloa taotluse. 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23">
        <w:rPr>
          <w:rFonts w:ascii="Times New Roman" w:eastAsia="Times New Roman" w:hAnsi="Times New Roman" w:cs="Times New Roman"/>
          <w:sz w:val="24"/>
          <w:szCs w:val="24"/>
        </w:rPr>
        <w:t>Päästeameti Ida päästekeskus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kooskõlastas tingimisi märkusega: „</w:t>
      </w:r>
      <w:r w:rsidRPr="00C63223">
        <w:rPr>
          <w:rFonts w:ascii="Times New Roman" w:eastAsia="Times New Roman" w:hAnsi="Times New Roman" w:cs="Times New Roman"/>
          <w:sz w:val="24"/>
          <w:szCs w:val="24"/>
        </w:rPr>
        <w:t>1. Kamina, ahi kasutamiseks tuleb eraldi taotleda. Hetke seisuga kamina ja ahi kasutamine on keelatud. Alus: majandus-ja taristuministri määrus nr 3 "Ehitamise dokumenteerimisele, ehitusdokumentide säilitamisele ja üleandmisele esitatavad nõuded ning hooldusjuhendile, selle hoidmisele ja üleand</w:t>
      </w:r>
      <w:r>
        <w:rPr>
          <w:rFonts w:ascii="Times New Roman" w:eastAsia="Times New Roman" w:hAnsi="Times New Roman" w:cs="Times New Roman"/>
          <w:sz w:val="24"/>
          <w:szCs w:val="24"/>
        </w:rPr>
        <w:t>misele esitatavad nõuded" § 14.“</w:t>
      </w:r>
    </w:p>
    <w:p w:rsidR="0012068B" w:rsidRPr="00D4122A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23">
        <w:rPr>
          <w:rFonts w:ascii="Times New Roman" w:eastAsia="Times New Roman" w:hAnsi="Times New Roman" w:cs="Times New Roman"/>
          <w:sz w:val="24"/>
          <w:szCs w:val="24"/>
        </w:rPr>
        <w:t>Järelevalve osakond kooskõlastas tingimisi märkusega:</w:t>
      </w:r>
      <w:r w:rsidRPr="00C63223">
        <w:t xml:space="preserve"> </w:t>
      </w:r>
      <w:r>
        <w:t>„</w:t>
      </w:r>
      <w:r w:rsidRPr="00C63223">
        <w:rPr>
          <w:rFonts w:ascii="Times New Roman" w:eastAsia="Times New Roman" w:hAnsi="Times New Roman" w:cs="Times New Roman"/>
          <w:sz w:val="24"/>
          <w:szCs w:val="24"/>
        </w:rPr>
        <w:t>Kooskõlastus laieneb aiamajale koos elektriküttega. Muid küttesüsteeme kasutada on KEELATUD. Kamina ja/või ahju kas</w:t>
      </w:r>
      <w:r>
        <w:rPr>
          <w:rFonts w:ascii="Times New Roman" w:eastAsia="Times New Roman" w:hAnsi="Times New Roman" w:cs="Times New Roman"/>
          <w:sz w:val="24"/>
          <w:szCs w:val="24"/>
        </w:rPr>
        <w:t>utamiseks tuleb er</w:t>
      </w:r>
      <w:r w:rsidR="00D4122A">
        <w:rPr>
          <w:rFonts w:ascii="Times New Roman" w:eastAsia="Times New Roman" w:hAnsi="Times New Roman" w:cs="Times New Roman"/>
          <w:sz w:val="24"/>
          <w:szCs w:val="24"/>
        </w:rPr>
        <w:t>aldi esitada</w:t>
      </w:r>
      <w:r w:rsidRPr="00C63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22A">
        <w:rPr>
          <w:rFonts w:ascii="Times New Roman" w:eastAsia="Times New Roman" w:hAnsi="Times New Roman" w:cs="Times New Roman"/>
          <w:sz w:val="24"/>
          <w:szCs w:val="24"/>
        </w:rPr>
        <w:t>ehitus</w:t>
      </w:r>
      <w:r w:rsidR="00D4122A" w:rsidRPr="00D4122A">
        <w:rPr>
          <w:rFonts w:ascii="Times New Roman" w:eastAsia="Times New Roman" w:hAnsi="Times New Roman" w:cs="Times New Roman"/>
          <w:sz w:val="24"/>
          <w:szCs w:val="24"/>
        </w:rPr>
        <w:t>/kasutusteatise</w:t>
      </w:r>
      <w:r w:rsidRPr="00D4122A">
        <w:rPr>
          <w:rFonts w:ascii="Times New Roman" w:eastAsia="Times New Roman" w:hAnsi="Times New Roman" w:cs="Times New Roman"/>
          <w:sz w:val="24"/>
          <w:szCs w:val="24"/>
        </w:rPr>
        <w:t>.“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Ehitusseadustiku § 50 lg 5 kohaselt e</w:t>
      </w:r>
      <w:r w:rsidRPr="00C63223">
        <w:rPr>
          <w:rFonts w:ascii="Times New Roman" w:eastAsia="Times New Roman" w:hAnsi="Times New Roman" w:cs="Times New Roman"/>
          <w:sz w:val="24"/>
          <w:szCs w:val="24"/>
        </w:rPr>
        <w:t>hitise osale võib anda osakasutusloa, kui ehitise osa on valmis ning täidetud on õigusaktides esitatud nõuded, eelkõige nõue, et ehitist on võimalik ohutult kasutada.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Seega, ehitusseadustiku § 55 loetletud kasutusloa andmisest keeldumise põhjused puuduvad ning aiamajale võib anda osakasutusloa.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  ÕIGUSLIKUD ALUSED</w:t>
      </w:r>
    </w:p>
    <w:p w:rsidR="0012068B" w:rsidRDefault="0012068B" w:rsidP="0012068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Ehitusseadustiku § 51 lõike 1 kohaselt kasutusloa annab kohaliku omavalitsuse üksus, kui seadusega ei ole sätestatud teisiti.</w:t>
      </w:r>
    </w:p>
    <w:p w:rsidR="0012068B" w:rsidRDefault="0012068B" w:rsidP="0012068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 Ehitusseadustiku § 54 lg 3 punkti 3 kohaselt k</w:t>
      </w:r>
      <w:r w:rsidRPr="006F781A">
        <w:rPr>
          <w:rFonts w:ascii="Times New Roman" w:eastAsia="Times New Roman" w:hAnsi="Times New Roman" w:cs="Times New Roman"/>
          <w:sz w:val="24"/>
          <w:szCs w:val="24"/>
        </w:rPr>
        <w:t xml:space="preserve">asutusloa </w:t>
      </w:r>
      <w:proofErr w:type="spellStart"/>
      <w:r w:rsidRPr="006F781A">
        <w:rPr>
          <w:rFonts w:ascii="Times New Roman" w:eastAsia="Times New Roman" w:hAnsi="Times New Roman" w:cs="Times New Roman"/>
          <w:sz w:val="24"/>
          <w:szCs w:val="24"/>
        </w:rPr>
        <w:t>kõrvaltingimusena</w:t>
      </w:r>
      <w:proofErr w:type="spellEnd"/>
      <w:r w:rsidRPr="006F781A">
        <w:rPr>
          <w:rFonts w:ascii="Times New Roman" w:eastAsia="Times New Roman" w:hAnsi="Times New Roman" w:cs="Times New Roman"/>
          <w:sz w:val="24"/>
          <w:szCs w:val="24"/>
        </w:rPr>
        <w:t xml:space="preserve"> võib eelkõige sätestada: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81A">
        <w:rPr>
          <w:rFonts w:ascii="Times New Roman" w:eastAsia="Times New Roman" w:hAnsi="Times New Roman" w:cs="Times New Roman"/>
          <w:sz w:val="24"/>
          <w:szCs w:val="24"/>
        </w:rPr>
        <w:t>lisakohustuse taotleda ehitise osakasutusloa andmise korral teatud tähtaja jooksul kasutusluba;</w:t>
      </w:r>
    </w:p>
    <w:p w:rsidR="0012068B" w:rsidRDefault="0012068B" w:rsidP="0012068B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Narva Linnavalitsuse Arhitektuuri- ja Linnaplaneerimise Ameti põhimääruse § 9  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3.1.Anda  Tasane tn 21 kinnistul olevale elektriküttesüsteemiga aiamajahoonele osakasutusluba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auditi aruanne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töö nr 34-2020, </w:t>
      </w:r>
      <w:r w:rsidRPr="006F781A">
        <w:rPr>
          <w:rFonts w:ascii="Times New Roman" w:eastAsia="Times New Roman" w:hAnsi="Times New Roman" w:cs="Times New Roman"/>
          <w:sz w:val="24"/>
          <w:szCs w:val="24"/>
        </w:rPr>
        <w:t xml:space="preserve">koostaja Osaühing </w:t>
      </w:r>
      <w:proofErr w:type="spellStart"/>
      <w:r w:rsidRPr="006F781A">
        <w:rPr>
          <w:rFonts w:ascii="Times New Roman" w:eastAsia="Times New Roman" w:hAnsi="Times New Roman" w:cs="Times New Roman"/>
          <w:sz w:val="24"/>
          <w:szCs w:val="24"/>
        </w:rPr>
        <w:t>Ösel</w:t>
      </w:r>
      <w:proofErr w:type="spellEnd"/>
      <w:r w:rsidRPr="006F7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81A">
        <w:rPr>
          <w:rFonts w:ascii="Times New Roman" w:eastAsia="Times New Roman" w:hAnsi="Times New Roman" w:cs="Times New Roman"/>
          <w:sz w:val="24"/>
          <w:szCs w:val="24"/>
        </w:rPr>
        <w:t>Consulting</w:t>
      </w:r>
      <w:proofErr w:type="spellEnd"/>
      <w:r w:rsidRPr="006F78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). Hoonesse paigaldatud       kamina ja/või ahju kasutamine on keelatud.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3.2.Aiamajahoones küttesüsteemi muutmiseks omanik on kohustatud esitama ehitusteatise</w:t>
      </w:r>
      <w:r w:rsidRPr="00041E0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12068B" w:rsidRDefault="0012068B" w:rsidP="001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12068B" w:rsidRDefault="0012068B" w:rsidP="0012068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Korraldus jõustub seadusega sätestatud korras. </w:t>
      </w:r>
    </w:p>
    <w:p w:rsidR="0012068B" w:rsidRDefault="0012068B" w:rsidP="0012068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4.2.Käesoleva korralduse peale võib esitada Narva Linnavalitsusele vaide haldusmenetluse seaduses sätestatud korras 30 päeva jooksul arvates korraldusest teadasaamise päevast või esitada kaebuse Tartu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Üllar Kaljuste</w:t>
      </w:r>
    </w:p>
    <w:p w:rsidR="0012068B" w:rsidRDefault="0012068B" w:rsidP="0012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Linnapea                                                                            Linnasekretär</w:t>
      </w:r>
    </w:p>
    <w:p w:rsidR="0012068B" w:rsidRDefault="0012068B" w:rsidP="0012068B">
      <w:pPr>
        <w:rPr>
          <w:sz w:val="24"/>
          <w:szCs w:val="24"/>
        </w:rPr>
      </w:pPr>
    </w:p>
    <w:p w:rsidR="0012068B" w:rsidRPr="00467874" w:rsidRDefault="0012068B" w:rsidP="0012068B"/>
    <w:p w:rsidR="00EE1364" w:rsidRPr="0012068B" w:rsidRDefault="00EE1364" w:rsidP="0012068B">
      <w:bookmarkStart w:id="0" w:name="_GoBack"/>
      <w:bookmarkEnd w:id="0"/>
    </w:p>
    <w:sectPr w:rsidR="00EE1364" w:rsidRPr="0012068B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4"/>
    <w:rsid w:val="0012068B"/>
    <w:rsid w:val="001F401F"/>
    <w:rsid w:val="005C202B"/>
    <w:rsid w:val="006F781A"/>
    <w:rsid w:val="007C07B7"/>
    <w:rsid w:val="00A4414C"/>
    <w:rsid w:val="00BF04F4"/>
    <w:rsid w:val="00C63223"/>
    <w:rsid w:val="00D4122A"/>
    <w:rsid w:val="00DC290A"/>
    <w:rsid w:val="00E934D2"/>
    <w:rsid w:val="00E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3EB0A-F778-4719-9323-CD0A5898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3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r.ee" TargetMode="External"/><Relationship Id="rId5" Type="http://schemas.openxmlformats.org/officeDocument/2006/relationships/hyperlink" Target="https://id.ehr.ee/ehr/app/w/page?18-1.ILinkListener-form-tabsContainer-box2TabContent-treeForm-content-treeForm-fileTreePanel-tree-table-body-rows-2-cells-1-cell-content-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818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8</cp:revision>
  <cp:lastPrinted>2021-08-10T11:14:00Z</cp:lastPrinted>
  <dcterms:created xsi:type="dcterms:W3CDTF">2021-08-09T12:10:00Z</dcterms:created>
  <dcterms:modified xsi:type="dcterms:W3CDTF">2021-08-17T11:01:00Z</dcterms:modified>
</cp:coreProperties>
</file>