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:rsidTr="003432BA">
        <w:trPr>
          <w:tblCellSpacing w:w="0" w:type="dxa"/>
        </w:trPr>
        <w:tc>
          <w:tcPr>
            <w:tcW w:w="5000" w:type="pct"/>
          </w:tcPr>
          <w:p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544DC" w:rsidRPr="00485088" w:rsidRDefault="000544DC" w:rsidP="00265F2F">
            <w:pPr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</w:t>
            </w:r>
            <w:r w:rsidR="00CE4B51">
              <w:rPr>
                <w:rFonts w:eastAsia="Times New Roman" w:cs="Times New Roman"/>
                <w:szCs w:val="24"/>
              </w:rPr>
              <w:t>1</w:t>
            </w:r>
            <w:r w:rsidRPr="00485088">
              <w:rPr>
                <w:rFonts w:eastAsia="Times New Roman" w:cs="Times New Roman"/>
                <w:szCs w:val="24"/>
              </w:rPr>
              <w:t xml:space="preserve"> nr</w:t>
            </w:r>
            <w:r w:rsidR="00265F2F">
              <w:rPr>
                <w:rFonts w:eastAsia="Times New Roman" w:cs="Times New Roman"/>
                <w:szCs w:val="24"/>
              </w:rPr>
              <w:t xml:space="preserve"> </w:t>
            </w:r>
            <w:r w:rsidRPr="00485088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  <w:p w:rsidR="002B46CF" w:rsidRPr="00485088" w:rsidRDefault="002B46CF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8F41FC">
        <w:rPr>
          <w:rFonts w:eastAsia="Times New Roman" w:cs="Times New Roman"/>
          <w:b/>
          <w:bCs/>
          <w:szCs w:val="24"/>
        </w:rPr>
        <w:t>Kreenholmi tn 50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485088" w:rsidRDefault="008F41FC" w:rsidP="006E279C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12</w:t>
      </w:r>
      <w:r w:rsidR="007844A9">
        <w:rPr>
          <w:rFonts w:eastAsia="Times New Roman" w:cs="Times New Roman"/>
          <w:bCs/>
          <w:szCs w:val="24"/>
        </w:rPr>
        <w:t>.0</w:t>
      </w:r>
      <w:r>
        <w:rPr>
          <w:rFonts w:eastAsia="Times New Roman" w:cs="Times New Roman"/>
          <w:bCs/>
          <w:szCs w:val="24"/>
        </w:rPr>
        <w:t>5</w:t>
      </w:r>
      <w:r w:rsidR="00234D15">
        <w:rPr>
          <w:rFonts w:eastAsia="Times New Roman" w:cs="Times New Roman"/>
          <w:bCs/>
          <w:szCs w:val="24"/>
        </w:rPr>
        <w:t>.2021</w:t>
      </w:r>
      <w:r w:rsidR="000544DC" w:rsidRPr="00485088">
        <w:rPr>
          <w:rFonts w:eastAsia="Times New Roman" w:cs="Times New Roman"/>
          <w:bCs/>
          <w:szCs w:val="24"/>
        </w:rPr>
        <w:t xml:space="preserve">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>
        <w:rPr>
          <w:rFonts w:eastAsia="Times New Roman" w:cs="Times New Roman"/>
          <w:szCs w:val="24"/>
        </w:rPr>
        <w:t>Kreenholmi tn 50</w:t>
      </w:r>
      <w:r w:rsidR="00485088" w:rsidRPr="00485088">
        <w:rPr>
          <w:rFonts w:eastAsia="Times New Roman" w:cs="Times New Roman"/>
          <w:szCs w:val="24"/>
        </w:rPr>
        <w:t xml:space="preserve"> </w:t>
      </w:r>
      <w:r w:rsidR="006E4B3C">
        <w:rPr>
          <w:rFonts w:eastAsia="Times New Roman" w:cs="Times New Roman"/>
          <w:szCs w:val="24"/>
        </w:rPr>
        <w:t>(katastri</w:t>
      </w:r>
      <w:bookmarkStart w:id="0" w:name="_GoBack"/>
      <w:bookmarkEnd w:id="0"/>
      <w:r w:rsidR="007844A9">
        <w:rPr>
          <w:rFonts w:eastAsia="Times New Roman" w:cs="Times New Roman"/>
          <w:szCs w:val="24"/>
        </w:rPr>
        <w:t xml:space="preserve">tunnus </w:t>
      </w:r>
      <w:r w:rsidR="00FF38FA" w:rsidRPr="00FF38FA">
        <w:rPr>
          <w:rFonts w:eastAsia="Times New Roman" w:cs="Times New Roman"/>
          <w:szCs w:val="24"/>
        </w:rPr>
        <w:t>51105:003:0203</w:t>
      </w:r>
      <w:r w:rsidR="007844A9">
        <w:rPr>
          <w:rFonts w:eastAsia="Times New Roman" w:cs="Times New Roman"/>
          <w:szCs w:val="24"/>
        </w:rPr>
        <w:t>)</w:t>
      </w:r>
      <w:r w:rsidR="00485088" w:rsidRPr="00485088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kinnistul</w:t>
      </w:r>
      <w:r w:rsidRPr="006E279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asuva</w:t>
      </w:r>
      <w:r w:rsidR="002B46CF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</w:t>
      </w:r>
      <w:r w:rsidR="00465D84">
        <w:rPr>
          <w:rFonts w:eastAsia="Times New Roman" w:cs="Times New Roman"/>
          <w:szCs w:val="24"/>
        </w:rPr>
        <w:t>kaubandus</w:t>
      </w:r>
      <w:r>
        <w:rPr>
          <w:rFonts w:eastAsia="Times New Roman" w:cs="Times New Roman"/>
          <w:szCs w:val="24"/>
        </w:rPr>
        <w:t>hoone</w:t>
      </w:r>
      <w:r w:rsidR="002B46CF">
        <w:rPr>
          <w:rFonts w:eastAsia="Times New Roman" w:cs="Times New Roman"/>
          <w:szCs w:val="24"/>
        </w:rPr>
        <w:t>s</w:t>
      </w:r>
      <w:r w:rsidR="006E279C" w:rsidRPr="006E279C">
        <w:rPr>
          <w:rFonts w:eastAsia="Times New Roman" w:cs="Times New Roman"/>
          <w:szCs w:val="24"/>
        </w:rPr>
        <w:t xml:space="preserve"> </w:t>
      </w:r>
      <w:r w:rsidR="00485088" w:rsidRPr="00485088">
        <w:rPr>
          <w:rFonts w:eastAsia="Times New Roman" w:cs="Times New Roman"/>
          <w:szCs w:val="24"/>
        </w:rPr>
        <w:t>(</w:t>
      </w:r>
      <w:r w:rsidR="000544DC" w:rsidRPr="00485088">
        <w:rPr>
          <w:rFonts w:eastAsia="Times New Roman" w:cs="Times New Roman"/>
          <w:szCs w:val="24"/>
        </w:rPr>
        <w:t xml:space="preserve">ehitisregistri kood </w:t>
      </w:r>
      <w:r>
        <w:rPr>
          <w:rFonts w:eastAsia="Times New Roman" w:cs="Times New Roman"/>
          <w:szCs w:val="24"/>
        </w:rPr>
        <w:t>120552310</w:t>
      </w:r>
      <w:r w:rsidR="00485088" w:rsidRPr="00485088">
        <w:rPr>
          <w:rFonts w:eastAsia="Times New Roman" w:cs="Times New Roman"/>
          <w:szCs w:val="24"/>
        </w:rPr>
        <w:t>)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="00465D84">
        <w:rPr>
          <w:rFonts w:eastAsia="Times New Roman" w:cs="Times New Roman"/>
          <w:szCs w:val="24"/>
        </w:rPr>
        <w:t>ümberplaneeritud</w:t>
      </w:r>
      <w:r w:rsidR="006E279C">
        <w:rPr>
          <w:rFonts w:eastAsia="Times New Roman" w:cs="Times New Roman"/>
          <w:szCs w:val="24"/>
        </w:rPr>
        <w:t xml:space="preserve"> siseruumidele </w:t>
      </w:r>
      <w:r w:rsidR="000544DC" w:rsidRPr="00485088">
        <w:rPr>
          <w:rFonts w:eastAsia="Times New Roman" w:cs="Times New Roman"/>
          <w:bCs/>
          <w:szCs w:val="24"/>
        </w:rPr>
        <w:t>kasutusloa taotlus nr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Pr="008F41FC">
        <w:rPr>
          <w:rFonts w:eastAsia="Times New Roman" w:cs="Times New Roman"/>
          <w:szCs w:val="24"/>
        </w:rPr>
        <w:t>2111371/11548</w:t>
      </w:r>
      <w:r w:rsidR="000544DC" w:rsidRPr="00485088">
        <w:rPr>
          <w:rFonts w:eastAsia="Times New Roman" w:cs="Times New Roman"/>
          <w:szCs w:val="24"/>
        </w:rPr>
        <w:t xml:space="preserve">.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D66B8D">
        <w:rPr>
          <w:rFonts w:eastAsia="Times New Roman" w:cs="Times New Roman"/>
          <w:bCs/>
          <w:szCs w:val="24"/>
        </w:rPr>
        <w:t xml:space="preserve"> „</w:t>
      </w:r>
      <w:r>
        <w:rPr>
          <w:rFonts w:eastAsia="Times New Roman" w:cs="Times New Roman"/>
          <w:bCs/>
          <w:szCs w:val="24"/>
        </w:rPr>
        <w:t>654NEP_PP_Kreenhoolmi50</w:t>
      </w:r>
      <w:r w:rsidR="00D66B8D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proofErr w:type="spellStart"/>
      <w:r w:rsidR="000544DC"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="000544DC" w:rsidRPr="00485088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Narva Ehitusprojekt</w:t>
      </w:r>
      <w:r w:rsidR="006E279C" w:rsidRPr="006E279C">
        <w:rPr>
          <w:rFonts w:eastAsia="Times New Roman" w:cs="Times New Roman"/>
          <w:bCs/>
          <w:szCs w:val="24"/>
        </w:rPr>
        <w:t xml:space="preserve"> OÜ</w:t>
      </w:r>
      <w:r w:rsidR="000544DC" w:rsidRPr="0048508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bCs/>
          <w:szCs w:val="24"/>
        </w:rPr>
        <w:t xml:space="preserve"> ning </w:t>
      </w:r>
      <w:r w:rsidR="001370FD">
        <w:rPr>
          <w:rFonts w:eastAsia="Times New Roman" w:cs="Times New Roman"/>
          <w:bCs/>
          <w:szCs w:val="24"/>
        </w:rPr>
        <w:t>vajalik teostusdokumentatsioon</w:t>
      </w:r>
      <w:r w:rsidR="00485088" w:rsidRPr="00485088">
        <w:rPr>
          <w:rFonts w:cs="Times New Roman"/>
          <w:bCs/>
          <w:szCs w:val="24"/>
        </w:rPr>
        <w:t>.</w:t>
      </w:r>
    </w:p>
    <w:p w:rsidR="00376073" w:rsidRDefault="00376073" w:rsidP="00485088">
      <w:pPr>
        <w:jc w:val="both"/>
        <w:rPr>
          <w:rFonts w:cs="Times New Roman"/>
          <w:bCs/>
          <w:szCs w:val="24"/>
        </w:rPr>
      </w:pPr>
    </w:p>
    <w:p w:rsidR="00180EFC" w:rsidRDefault="00376073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Ehitusprojektiga oli </w:t>
      </w:r>
      <w:r w:rsidR="00CE4B51">
        <w:rPr>
          <w:rFonts w:cs="Times New Roman"/>
          <w:bCs/>
          <w:szCs w:val="24"/>
        </w:rPr>
        <w:t>ettenähtud</w:t>
      </w:r>
      <w:r w:rsidRPr="00376073">
        <w:rPr>
          <w:rFonts w:cs="Times New Roman"/>
          <w:bCs/>
          <w:szCs w:val="24"/>
        </w:rPr>
        <w:t xml:space="preserve"> </w:t>
      </w:r>
      <w:r w:rsidR="00AD3301">
        <w:rPr>
          <w:rFonts w:cs="Times New Roman"/>
          <w:bCs/>
          <w:szCs w:val="24"/>
        </w:rPr>
        <w:t>teostada N</w:t>
      </w:r>
      <w:r w:rsidRPr="00376073">
        <w:rPr>
          <w:rFonts w:cs="Times New Roman"/>
          <w:bCs/>
          <w:szCs w:val="24"/>
        </w:rPr>
        <w:t>arv</w:t>
      </w:r>
      <w:r>
        <w:rPr>
          <w:rFonts w:cs="Times New Roman"/>
          <w:bCs/>
          <w:szCs w:val="24"/>
        </w:rPr>
        <w:t xml:space="preserve">a linnas, aadressil </w:t>
      </w:r>
      <w:r w:rsidR="000C2942">
        <w:rPr>
          <w:rFonts w:cs="Times New Roman"/>
          <w:bCs/>
          <w:szCs w:val="24"/>
        </w:rPr>
        <w:t>Kreenholmi tn 50</w:t>
      </w:r>
      <w:r w:rsidRPr="00376073">
        <w:rPr>
          <w:rFonts w:cs="Times New Roman"/>
          <w:bCs/>
          <w:szCs w:val="24"/>
        </w:rPr>
        <w:t xml:space="preserve"> </w:t>
      </w:r>
      <w:r w:rsidR="00465D84">
        <w:rPr>
          <w:rFonts w:cs="Times New Roman"/>
          <w:bCs/>
          <w:szCs w:val="24"/>
        </w:rPr>
        <w:t>kaubandush</w:t>
      </w:r>
      <w:r w:rsidR="000C2942">
        <w:rPr>
          <w:rFonts w:cs="Times New Roman"/>
          <w:bCs/>
          <w:szCs w:val="24"/>
        </w:rPr>
        <w:t xml:space="preserve">oones </w:t>
      </w:r>
      <w:r w:rsidRPr="00376073">
        <w:rPr>
          <w:rFonts w:cs="Times New Roman"/>
          <w:bCs/>
          <w:szCs w:val="24"/>
        </w:rPr>
        <w:t>(</w:t>
      </w:r>
      <w:proofErr w:type="spellStart"/>
      <w:r w:rsidRPr="00376073">
        <w:rPr>
          <w:rFonts w:cs="Times New Roman"/>
          <w:bCs/>
          <w:szCs w:val="24"/>
        </w:rPr>
        <w:t>ehr</w:t>
      </w:r>
      <w:proofErr w:type="spellEnd"/>
      <w:r w:rsidRPr="00376073">
        <w:rPr>
          <w:rFonts w:cs="Times New Roman"/>
          <w:bCs/>
          <w:szCs w:val="24"/>
        </w:rPr>
        <w:t xml:space="preserve"> kood </w:t>
      </w:r>
      <w:r w:rsidR="008F41FC">
        <w:rPr>
          <w:rFonts w:eastAsia="Times New Roman" w:cs="Times New Roman"/>
          <w:szCs w:val="24"/>
        </w:rPr>
        <w:t>120552310</w:t>
      </w:r>
      <w:r w:rsidRPr="00376073">
        <w:rPr>
          <w:rFonts w:cs="Times New Roman"/>
          <w:bCs/>
          <w:szCs w:val="24"/>
        </w:rPr>
        <w:t xml:space="preserve">) </w:t>
      </w:r>
      <w:r w:rsidR="000C2942">
        <w:rPr>
          <w:rFonts w:cs="Times New Roman"/>
          <w:bCs/>
          <w:szCs w:val="24"/>
        </w:rPr>
        <w:t>siseruumide</w:t>
      </w:r>
      <w:r w:rsidR="002B46CF">
        <w:rPr>
          <w:rFonts w:cs="Times New Roman"/>
          <w:bCs/>
          <w:szCs w:val="24"/>
        </w:rPr>
        <w:t xml:space="preserve"> ümberplaneerimine</w:t>
      </w:r>
      <w:r w:rsidR="00243C3C">
        <w:rPr>
          <w:rFonts w:cs="Times New Roman"/>
          <w:bCs/>
          <w:szCs w:val="24"/>
        </w:rPr>
        <w:t>.</w:t>
      </w:r>
    </w:p>
    <w:p w:rsidR="00180EFC" w:rsidRDefault="00180EFC" w:rsidP="00376073">
      <w:pPr>
        <w:jc w:val="both"/>
        <w:rPr>
          <w:rFonts w:cs="Times New Roman"/>
          <w:bCs/>
          <w:szCs w:val="24"/>
        </w:rPr>
      </w:pPr>
    </w:p>
    <w:p w:rsidR="00D13E87" w:rsidRPr="00485088" w:rsidRDefault="00D13E87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</w:t>
      </w:r>
      <w:r w:rsidR="00DA1200">
        <w:rPr>
          <w:rFonts w:cs="Times New Roman"/>
          <w:bCs/>
          <w:szCs w:val="24"/>
        </w:rPr>
        <w:t xml:space="preserve">itustööd täies mahus vastavad </w:t>
      </w:r>
      <w:r w:rsidR="002B46CF">
        <w:rPr>
          <w:rFonts w:cs="Times New Roman"/>
          <w:bCs/>
          <w:szCs w:val="24"/>
        </w:rPr>
        <w:t>23</w:t>
      </w:r>
      <w:r w:rsidR="00DA1200">
        <w:rPr>
          <w:rFonts w:cs="Times New Roman"/>
          <w:bCs/>
          <w:szCs w:val="24"/>
        </w:rPr>
        <w:t>.</w:t>
      </w:r>
      <w:r w:rsidR="002B46CF">
        <w:rPr>
          <w:rFonts w:cs="Times New Roman"/>
          <w:bCs/>
          <w:szCs w:val="24"/>
        </w:rPr>
        <w:t>12</w:t>
      </w:r>
      <w:r>
        <w:rPr>
          <w:rFonts w:cs="Times New Roman"/>
          <w:bCs/>
          <w:szCs w:val="24"/>
        </w:rPr>
        <w:t>.202</w:t>
      </w:r>
      <w:r w:rsidR="00AD3301">
        <w:rPr>
          <w:rFonts w:cs="Times New Roman"/>
          <w:bCs/>
          <w:szCs w:val="24"/>
        </w:rPr>
        <w:t>0</w:t>
      </w:r>
      <w:r>
        <w:rPr>
          <w:rFonts w:cs="Times New Roman"/>
          <w:bCs/>
          <w:szCs w:val="24"/>
        </w:rPr>
        <w:t xml:space="preserve"> antud ehitusloale nr </w:t>
      </w:r>
      <w:r w:rsidR="002B46CF" w:rsidRPr="002B46CF">
        <w:rPr>
          <w:rFonts w:cs="Times New Roman"/>
          <w:bCs/>
          <w:szCs w:val="24"/>
        </w:rPr>
        <w:t>2012271/44057</w:t>
      </w:r>
      <w:r w:rsidR="002B46CF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ja ehitusloa menetluse raames </w:t>
      </w:r>
      <w:r w:rsidR="00EC1064">
        <w:rPr>
          <w:rFonts w:cs="Times New Roman"/>
          <w:bCs/>
          <w:szCs w:val="24"/>
        </w:rPr>
        <w:t>kooskõlastatud</w:t>
      </w:r>
      <w:r>
        <w:rPr>
          <w:rFonts w:cs="Times New Roman"/>
          <w:bCs/>
          <w:szCs w:val="24"/>
        </w:rPr>
        <w:t xml:space="preserve"> ehitusprojektile.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Default="008F41FC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="00234D15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5</w:t>
      </w:r>
      <w:r w:rsidR="000544DC" w:rsidRPr="00485088">
        <w:rPr>
          <w:rFonts w:eastAsia="Times New Roman" w:cs="Times New Roman"/>
          <w:szCs w:val="24"/>
        </w:rPr>
        <w:t>.202</w:t>
      </w:r>
      <w:r w:rsidR="00234D15">
        <w:rPr>
          <w:rFonts w:eastAsia="Times New Roman" w:cs="Times New Roman"/>
          <w:szCs w:val="24"/>
        </w:rPr>
        <w:t>1</w:t>
      </w:r>
      <w:r w:rsidR="000544DC" w:rsidRPr="00485088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Pr="008F41FC">
        <w:rPr>
          <w:rFonts w:eastAsia="Times New Roman" w:cs="Times New Roman"/>
          <w:szCs w:val="24"/>
        </w:rPr>
        <w:t>2112371/09010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 w:rsidR="007D00C1" w:rsidRPr="007D00C1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59148</w:t>
      </w:r>
      <w:r w:rsidR="000544DC" w:rsidRPr="00485088">
        <w:rPr>
          <w:rFonts w:eastAsia="Times New Roman" w:cs="Times New Roman"/>
          <w:szCs w:val="24"/>
        </w:rPr>
        <w:t xml:space="preserve"> ning eelnõu suunatud kooskõlastamiseks</w:t>
      </w:r>
      <w:r w:rsidR="003679B3">
        <w:rPr>
          <w:rFonts w:eastAsia="Times New Roman" w:cs="Times New Roman"/>
          <w:szCs w:val="24"/>
        </w:rPr>
        <w:t xml:space="preserve"> Pä</w:t>
      </w:r>
      <w:r>
        <w:rPr>
          <w:rFonts w:eastAsia="Times New Roman" w:cs="Times New Roman"/>
          <w:szCs w:val="24"/>
        </w:rPr>
        <w:t xml:space="preserve">ästeameti Ida päästekeskusele ja </w:t>
      </w:r>
      <w:r w:rsidR="003679B3">
        <w:rPr>
          <w:rFonts w:eastAsia="Times New Roman" w:cs="Times New Roman"/>
          <w:szCs w:val="24"/>
        </w:rPr>
        <w:t>Narva Linnavalitsuse Arhitektuuri- ja Linnaplaneerimise Ameti spetsialisti</w:t>
      </w:r>
      <w:r w:rsidR="007844A9">
        <w:rPr>
          <w:rFonts w:eastAsia="Times New Roman" w:cs="Times New Roman"/>
          <w:szCs w:val="24"/>
        </w:rPr>
        <w:t>de</w:t>
      </w:r>
      <w:r w:rsidR="003679B3">
        <w:rPr>
          <w:rFonts w:eastAsia="Times New Roman" w:cs="Times New Roman"/>
          <w:szCs w:val="24"/>
        </w:rPr>
        <w:t>le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301863" w:rsidRPr="00485088" w:rsidRDefault="002B46CF" w:rsidP="003018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</w:t>
      </w:r>
      <w:r w:rsidR="000544DC" w:rsidRPr="00485088">
        <w:rPr>
          <w:rFonts w:eastAsia="Times New Roman" w:cs="Times New Roman"/>
          <w:szCs w:val="24"/>
        </w:rPr>
        <w:t>hitusettevõtja, omanikujärelevalve</w:t>
      </w:r>
      <w:r w:rsidR="00C63A1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szCs w:val="24"/>
        </w:rPr>
        <w:t xml:space="preserve"> vastutavad spetsialistid  hindasid</w:t>
      </w:r>
      <w:r w:rsidR="000544DC" w:rsidRPr="00485088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Kreenholmi tn 50</w:t>
      </w:r>
      <w:r w:rsidR="007D00C1">
        <w:rPr>
          <w:rFonts w:eastAsia="Times New Roman" w:cs="Times New Roman"/>
          <w:szCs w:val="24"/>
        </w:rPr>
        <w:t xml:space="preserve"> </w:t>
      </w:r>
      <w:r w:rsidR="00465D84">
        <w:rPr>
          <w:rFonts w:eastAsia="Times New Roman" w:cs="Times New Roman"/>
          <w:szCs w:val="24"/>
        </w:rPr>
        <w:t>kaubandus</w:t>
      </w:r>
      <w:r w:rsidR="007D00C1">
        <w:rPr>
          <w:rFonts w:eastAsia="Times New Roman" w:cs="Times New Roman"/>
          <w:szCs w:val="24"/>
        </w:rPr>
        <w:t xml:space="preserve">hoones </w:t>
      </w:r>
      <w:r w:rsidR="00243C3C">
        <w:rPr>
          <w:rFonts w:eastAsia="Times New Roman" w:cs="Times New Roman"/>
          <w:szCs w:val="24"/>
        </w:rPr>
        <w:t>teostatud ehitustööd</w:t>
      </w:r>
      <w:r w:rsidR="00301863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="000544DC" w:rsidRPr="00485088">
        <w:rPr>
          <w:rFonts w:eastAsia="Times New Roman" w:cs="Times New Roman"/>
          <w:szCs w:val="24"/>
        </w:rPr>
        <w:t xml:space="preserve"> kinnitasid oma allkirjadega, et ehitusseadustikus § 55</w:t>
      </w:r>
      <w:r w:rsidR="007844A9">
        <w:rPr>
          <w:rFonts w:eastAsia="Times New Roman" w:cs="Times New Roman"/>
          <w:szCs w:val="24"/>
        </w:rPr>
        <w:t xml:space="preserve"> loetletud põhjused kasutusloa</w:t>
      </w:r>
      <w:r w:rsidR="000544DC" w:rsidRPr="00485088">
        <w:rPr>
          <w:rFonts w:eastAsia="Times New Roman" w:cs="Times New Roman"/>
          <w:szCs w:val="24"/>
        </w:rPr>
        <w:t xml:space="preserve"> väljastamisest keeldumiseks puuduvad.</w:t>
      </w:r>
      <w:r w:rsidR="00301863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180EFC" w:rsidRPr="00485088" w:rsidRDefault="000544DC" w:rsidP="00180EF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Kasutusloa menetlus toimus ehitisregistri elektroonilises keskkonnas. Ehitusdokumentatsioonis  on avastatud puuduseid ning ehitisregistri elektroonilise keskkonna kaudu </w:t>
      </w:r>
      <w:r w:rsidR="00CE4B51">
        <w:rPr>
          <w:rFonts w:eastAsia="Times New Roman" w:cs="Times New Roman"/>
          <w:szCs w:val="24"/>
        </w:rPr>
        <w:t>mitu</w:t>
      </w:r>
      <w:r w:rsidR="00D13E87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kord</w:t>
      </w:r>
      <w:r w:rsidR="00CE4B51">
        <w:rPr>
          <w:rFonts w:eastAsia="Times New Roman" w:cs="Times New Roman"/>
          <w:szCs w:val="24"/>
        </w:rPr>
        <w:t xml:space="preserve">a </w:t>
      </w:r>
      <w:r w:rsidRPr="00485088">
        <w:rPr>
          <w:rFonts w:eastAsia="Times New Roman" w:cs="Times New Roman"/>
          <w:szCs w:val="24"/>
        </w:rPr>
        <w:t>kasutusloa taotlus on tagastatud puuduste kõrvaldamiseks.</w:t>
      </w:r>
      <w:r w:rsidR="002B46CF">
        <w:rPr>
          <w:rFonts w:eastAsia="Times New Roman" w:cs="Times New Roman"/>
          <w:szCs w:val="24"/>
        </w:rPr>
        <w:t xml:space="preserve"> 17</w:t>
      </w:r>
      <w:r w:rsidR="00C0748C">
        <w:rPr>
          <w:rFonts w:eastAsia="Times New Roman" w:cs="Times New Roman"/>
          <w:szCs w:val="24"/>
        </w:rPr>
        <w:t>.0</w:t>
      </w:r>
      <w:r w:rsidR="00180EFC">
        <w:rPr>
          <w:rFonts w:eastAsia="Times New Roman" w:cs="Times New Roman"/>
          <w:szCs w:val="24"/>
        </w:rPr>
        <w:t>9</w:t>
      </w:r>
      <w:r w:rsidR="00C0748C">
        <w:rPr>
          <w:rFonts w:eastAsia="Times New Roman" w:cs="Times New Roman"/>
          <w:szCs w:val="24"/>
        </w:rPr>
        <w:t xml:space="preserve">.2021 lõplikult kõrvaldatud puudustega ehitusdokumentatsioon on ehitisregistri elektroonilises keskkonnas taotleja poolt taas esitatud ning </w:t>
      </w:r>
      <w:r w:rsidR="002B46CF">
        <w:rPr>
          <w:rFonts w:eastAsia="Times New Roman" w:cs="Times New Roman"/>
          <w:szCs w:val="24"/>
        </w:rPr>
        <w:t>30</w:t>
      </w:r>
      <w:r w:rsidRPr="00485088">
        <w:rPr>
          <w:rFonts w:eastAsia="Times New Roman" w:cs="Times New Roman"/>
          <w:szCs w:val="24"/>
        </w:rPr>
        <w:t>.0</w:t>
      </w:r>
      <w:r w:rsidR="00180EFC">
        <w:rPr>
          <w:rFonts w:eastAsia="Times New Roman" w:cs="Times New Roman"/>
          <w:szCs w:val="24"/>
        </w:rPr>
        <w:t>9</w:t>
      </w:r>
      <w:r w:rsidR="00CE4B51">
        <w:rPr>
          <w:rFonts w:eastAsia="Times New Roman" w:cs="Times New Roman"/>
          <w:szCs w:val="24"/>
        </w:rPr>
        <w:t>.2021</w:t>
      </w:r>
      <w:r w:rsidRPr="00485088">
        <w:rPr>
          <w:rFonts w:eastAsia="Times New Roman" w:cs="Times New Roman"/>
          <w:szCs w:val="24"/>
        </w:rPr>
        <w:t xml:space="preserve"> kõik kaasatud isikud kooskõlastasid kasutusloa taotluse kasutusloa väljastamiseks.</w:t>
      </w:r>
      <w:r w:rsidR="00180EFC" w:rsidRPr="00180EFC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r w:rsidR="007D00C1">
        <w:rPr>
          <w:rFonts w:eastAsia="Times New Roman" w:cs="Times New Roman"/>
          <w:szCs w:val="24"/>
        </w:rPr>
        <w:t xml:space="preserve">rekonstrueeritud </w:t>
      </w:r>
      <w:r w:rsidR="00465D84">
        <w:rPr>
          <w:rFonts w:eastAsia="Times New Roman" w:cs="Times New Roman"/>
          <w:szCs w:val="24"/>
        </w:rPr>
        <w:t>kaubandus</w:t>
      </w:r>
      <w:r w:rsidR="002B46CF">
        <w:rPr>
          <w:rFonts w:eastAsia="Times New Roman" w:cs="Times New Roman"/>
          <w:szCs w:val="24"/>
        </w:rPr>
        <w:t xml:space="preserve">hoonele aadressiga Kreenholmi tn 50 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:rsidR="000544DC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lastRenderedPageBreak/>
        <w:t>3. OTSUS</w:t>
      </w:r>
    </w:p>
    <w:p w:rsidR="000544DC" w:rsidRPr="00485088" w:rsidRDefault="00E121C0" w:rsidP="00C0748C">
      <w:pPr>
        <w:jc w:val="both"/>
        <w:rPr>
          <w:rFonts w:eastAsia="Times New Roman" w:cs="Times New Roman"/>
          <w:szCs w:val="24"/>
        </w:rPr>
      </w:pPr>
      <w:r w:rsidRPr="00E121C0">
        <w:rPr>
          <w:rFonts w:eastAsia="Times New Roman" w:cs="Times New Roman"/>
          <w:szCs w:val="24"/>
        </w:rPr>
        <w:t xml:space="preserve">Väljastada </w:t>
      </w:r>
      <w:r w:rsidR="002B46CF">
        <w:rPr>
          <w:rFonts w:eastAsia="Times New Roman" w:cs="Times New Roman"/>
          <w:szCs w:val="24"/>
        </w:rPr>
        <w:t>Kreenholmi tn 50</w:t>
      </w:r>
      <w:r w:rsidR="00E3459A">
        <w:rPr>
          <w:rFonts w:eastAsia="Times New Roman" w:cs="Times New Roman"/>
          <w:szCs w:val="24"/>
        </w:rPr>
        <w:t xml:space="preserve"> kinnistul</w:t>
      </w:r>
      <w:r w:rsidR="00243C3C">
        <w:rPr>
          <w:rFonts w:eastAsia="Times New Roman" w:cs="Times New Roman"/>
          <w:szCs w:val="24"/>
        </w:rPr>
        <w:t xml:space="preserve"> </w:t>
      </w:r>
      <w:r w:rsidR="007D00C1" w:rsidRPr="007D00C1">
        <w:rPr>
          <w:rFonts w:eastAsia="Times New Roman" w:cs="Times New Roman"/>
          <w:szCs w:val="24"/>
        </w:rPr>
        <w:t xml:space="preserve">rekonstrueeritud </w:t>
      </w:r>
      <w:r w:rsidR="00465D84">
        <w:rPr>
          <w:rFonts w:eastAsia="Times New Roman" w:cs="Times New Roman"/>
          <w:szCs w:val="24"/>
        </w:rPr>
        <w:t>kaubandus</w:t>
      </w:r>
      <w:r w:rsidR="002B46CF">
        <w:rPr>
          <w:rFonts w:eastAsia="Times New Roman" w:cs="Times New Roman"/>
          <w:szCs w:val="24"/>
        </w:rPr>
        <w:t>hoonele</w:t>
      </w:r>
      <w:r w:rsidR="00243C3C" w:rsidRPr="00243C3C">
        <w:rPr>
          <w:rFonts w:eastAsia="Times New Roman" w:cs="Times New Roman"/>
          <w:szCs w:val="24"/>
        </w:rPr>
        <w:t xml:space="preserve"> </w:t>
      </w:r>
      <w:r w:rsidRPr="00E121C0">
        <w:rPr>
          <w:rFonts w:eastAsia="Times New Roman" w:cs="Times New Roman"/>
          <w:szCs w:val="24"/>
        </w:rPr>
        <w:t>kasutusluba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180EFC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Ants Liimets</w:t>
      </w:r>
      <w:r w:rsidR="00DA1200">
        <w:rPr>
          <w:rFonts w:eastAsia="Times New Roman" w:cs="Times New Roman"/>
          <w:szCs w:val="24"/>
        </w:rPr>
        <w:tab/>
      </w:r>
      <w:r w:rsidR="000544DC"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="000544DC" w:rsidRPr="00485088">
        <w:rPr>
          <w:rFonts w:eastAsia="Times New Roman" w:cs="Times New Roman"/>
          <w:szCs w:val="24"/>
        </w:rPr>
        <w:t xml:space="preserve"> Üllar Kaljuste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C2942"/>
    <w:rsid w:val="0011719F"/>
    <w:rsid w:val="001370FD"/>
    <w:rsid w:val="0014364C"/>
    <w:rsid w:val="00180EFC"/>
    <w:rsid w:val="001B15D5"/>
    <w:rsid w:val="00234D15"/>
    <w:rsid w:val="0024269B"/>
    <w:rsid w:val="00243C3C"/>
    <w:rsid w:val="00265F2F"/>
    <w:rsid w:val="002B46CF"/>
    <w:rsid w:val="00301863"/>
    <w:rsid w:val="00321D38"/>
    <w:rsid w:val="003400CF"/>
    <w:rsid w:val="003679B3"/>
    <w:rsid w:val="00376073"/>
    <w:rsid w:val="00465D84"/>
    <w:rsid w:val="00485088"/>
    <w:rsid w:val="004E36AE"/>
    <w:rsid w:val="005972E8"/>
    <w:rsid w:val="005C7AB5"/>
    <w:rsid w:val="00631E36"/>
    <w:rsid w:val="006E279C"/>
    <w:rsid w:val="006E4B3C"/>
    <w:rsid w:val="007844A9"/>
    <w:rsid w:val="007C4543"/>
    <w:rsid w:val="007D00C1"/>
    <w:rsid w:val="00850D0F"/>
    <w:rsid w:val="008F41FC"/>
    <w:rsid w:val="009351BC"/>
    <w:rsid w:val="00A367C7"/>
    <w:rsid w:val="00A4436B"/>
    <w:rsid w:val="00AD3301"/>
    <w:rsid w:val="00B973D5"/>
    <w:rsid w:val="00C0748C"/>
    <w:rsid w:val="00C411A3"/>
    <w:rsid w:val="00C63A18"/>
    <w:rsid w:val="00CE4B51"/>
    <w:rsid w:val="00CF2F99"/>
    <w:rsid w:val="00D13E87"/>
    <w:rsid w:val="00D34617"/>
    <w:rsid w:val="00D66B8D"/>
    <w:rsid w:val="00D77921"/>
    <w:rsid w:val="00DA1200"/>
    <w:rsid w:val="00DE5A94"/>
    <w:rsid w:val="00E121C0"/>
    <w:rsid w:val="00E3459A"/>
    <w:rsid w:val="00E75FE4"/>
    <w:rsid w:val="00E911AB"/>
    <w:rsid w:val="00EC1064"/>
    <w:rsid w:val="00F859CA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14</cp:revision>
  <cp:lastPrinted>2020-04-14T11:34:00Z</cp:lastPrinted>
  <dcterms:created xsi:type="dcterms:W3CDTF">2020-05-22T07:57:00Z</dcterms:created>
  <dcterms:modified xsi:type="dcterms:W3CDTF">2021-10-01T12:45:00Z</dcterms:modified>
</cp:coreProperties>
</file>