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Normaallaad"/>
        <w:jc w:val="center"/>
        <w:rPr>
          <w:b w:val="1"/>
          <w:bCs w:val="1"/>
        </w:rPr>
      </w:pPr>
    </w:p>
    <w:p>
      <w:pPr>
        <w:pStyle w:val="Normaallaad"/>
        <w:jc w:val="center"/>
        <w:rPr>
          <w:b w:val="1"/>
          <w:bCs w:val="1"/>
        </w:rPr>
      </w:pPr>
      <w:r>
        <w:rPr>
          <w:b w:val="1"/>
          <w:bCs w:val="1"/>
          <w:rtl w:val="0"/>
          <w:lang w:val="en-US"/>
        </w:rPr>
        <w:t>NARVA LINNAVALITSUS</w:t>
      </w:r>
    </w:p>
    <w:p>
      <w:pPr>
        <w:pStyle w:val="Normaallaad"/>
        <w:jc w:val="center"/>
        <w:rPr>
          <w:b w:val="1"/>
          <w:bCs w:val="1"/>
        </w:rPr>
      </w:pPr>
    </w:p>
    <w:p>
      <w:pPr>
        <w:pStyle w:val="Pealkiri 2"/>
        <w:ind w:left="0" w:firstLine="0"/>
        <w:jc w:val="center"/>
        <w:rPr>
          <w:rFonts w:ascii="Times New Roman" w:cs="Times New Roman" w:hAnsi="Times New Roman" w:eastAsia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rtl w:val="0"/>
          <w:lang w:val="de-DE"/>
        </w:rPr>
        <w:t>PROTOKOLLILINE OTSUS</w:t>
      </w:r>
    </w:p>
    <w:p>
      <w:pPr>
        <w:pStyle w:val="Normaallaad"/>
        <w:jc w:val="center"/>
        <w:rPr>
          <w:b w:val="1"/>
          <w:bCs w:val="1"/>
        </w:rPr>
      </w:pPr>
    </w:p>
    <w:p>
      <w:pPr>
        <w:pStyle w:val="Normaallaad"/>
        <w:jc w:val="center"/>
        <w:rPr>
          <w:b w:val="1"/>
          <w:bCs w:val="1"/>
        </w:rPr>
      </w:pPr>
    </w:p>
    <w:p>
      <w:pPr>
        <w:pStyle w:val="Normaallaad"/>
      </w:pPr>
    </w:p>
    <w:p>
      <w:pPr>
        <w:pStyle w:val="Pealkiri 1"/>
      </w:pPr>
      <w:r>
        <w:rPr>
          <w:rtl w:val="0"/>
          <w:lang w:val="en-US"/>
        </w:rPr>
        <w:t>Narva linn</w:t>
        <w:tab/>
        <w:tab/>
        <w:tab/>
        <w:tab/>
        <w:tab/>
        <w:tab/>
        <w:tab/>
        <w:t xml:space="preserve">          </w:t>
        <w:tab/>
        <w:t xml:space="preserve"> _______2023 nr ______</w:t>
      </w:r>
    </w:p>
    <w:p>
      <w:pPr>
        <w:pStyle w:val="Pealkiri 1"/>
      </w:pPr>
    </w:p>
    <w:p>
      <w:pPr>
        <w:pStyle w:val="Normaallaad"/>
        <w:rPr>
          <w:b w:val="1"/>
          <w:bCs w:val="1"/>
        </w:rPr>
      </w:pPr>
    </w:p>
    <w:p>
      <w:pPr>
        <w:pStyle w:val="Normaallaad"/>
        <w:rPr>
          <w:b w:val="1"/>
          <w:bCs w:val="1"/>
        </w:rPr>
      </w:pPr>
    </w:p>
    <w:p>
      <w:pPr>
        <w:pStyle w:val="Normaallaad"/>
      </w:pPr>
      <w:r>
        <w:rPr>
          <w:rtl w:val="0"/>
          <w:lang w:val="en-US"/>
        </w:rPr>
        <w:t>Narva Linnavolikogu otsuse eeln</w:t>
      </w:r>
      <w:r>
        <w:rPr>
          <w:rtl w:val="0"/>
          <w:lang w:val="en-US"/>
        </w:rPr>
        <w:t>õ</w:t>
      </w:r>
      <w:r>
        <w:rPr>
          <w:rtl w:val="0"/>
          <w:lang w:val="en-US"/>
        </w:rPr>
        <w:t>u</w:t>
      </w:r>
    </w:p>
    <w:p>
      <w:pPr>
        <w:pStyle w:val="Pealkiri 1"/>
        <w:keepNext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line="240" w:lineRule="atLeast"/>
        <w:ind w:right="2772"/>
        <w:jc w:val="both"/>
        <w:outlineLvl w:val="9"/>
        <w:rPr>
          <w:b w:val="1"/>
          <w:bCs w:val="1"/>
          <w14:textOutline w14:w="12700" w14:cap="flat">
            <w14:noFill/>
            <w14:miter w14:lim="400000"/>
          </w14:textOutline>
        </w:rPr>
      </w:pPr>
      <w:r>
        <w:rPr>
          <w:b w:val="1"/>
          <w:bCs w:val="1"/>
          <w:rtl w:val="0"/>
          <w:lang w:val="fr-FR"/>
          <w14:textOutline w14:w="12700" w14:cap="flat">
            <w14:noFill/>
            <w14:miter w14:lim="400000"/>
          </w14:textOutline>
        </w:rPr>
        <w:t xml:space="preserve">Narva Linnavolikogu 09.06.2005 otsuse nr 88/56 </w:t>
      </w:r>
      <w:r>
        <w:rPr>
          <w:b w:val="1"/>
          <w:bCs w:val="1"/>
          <w:rtl w:val="1"/>
          <w:lang w:val="ar-SA" w:bidi="ar-SA"/>
          <w14:textOutline w14:w="12700" w14:cap="flat">
            <w14:noFill/>
            <w14:miter w14:lim="400000"/>
          </w14:textOutline>
        </w:rPr>
        <w:t>“</w:t>
      </w:r>
      <w:r>
        <w:rPr>
          <w:b w:val="1"/>
          <w:bCs w:val="1"/>
          <w:rtl w:val="0"/>
          <w:lang w:val="fr-FR"/>
          <w14:textOutline w14:w="12700" w14:cap="flat">
            <w14:noFill/>
            <w14:miter w14:lim="400000"/>
          </w14:textOutline>
        </w:rPr>
        <w:t>Kalda tn 16 maa-ala detailplaneeringu algatamine</w:t>
      </w:r>
      <w:r>
        <w:rPr>
          <w:b w:val="1"/>
          <w:bCs w:val="1"/>
          <w:rtl w:val="0"/>
          <w:lang w:val="fr-FR"/>
          <w14:textOutline w14:w="12700" w14:cap="flat">
            <w14:noFill/>
            <w14:miter w14:lim="400000"/>
          </w14:textOutline>
        </w:rPr>
        <w:t xml:space="preserve">” </w:t>
      </w:r>
      <w:r>
        <w:rPr>
          <w:b w:val="1"/>
          <w:bCs w:val="1"/>
          <w:rtl w:val="0"/>
          <w:lang w:val="fr-FR"/>
          <w14:textOutline w14:w="12700" w14:cap="flat">
            <w14:noFill/>
            <w14:miter w14:lim="400000"/>
          </w14:textOutline>
        </w:rPr>
        <w:t>kehtetuks tunnistamine ja detailplaneeringu menetluse l</w:t>
      </w:r>
      <w:r>
        <w:rPr>
          <w:b w:val="1"/>
          <w:bCs w:val="1"/>
          <w:rtl w:val="0"/>
          <w:lang w:val="pt-PT"/>
          <w14:textOutline w14:w="12700" w14:cap="flat">
            <w14:noFill/>
            <w14:miter w14:lim="400000"/>
          </w14:textOutline>
        </w:rPr>
        <w:t>õ</w:t>
      </w:r>
      <w:r>
        <w:rPr>
          <w:b w:val="1"/>
          <w:bCs w:val="1"/>
          <w:rtl w:val="0"/>
          <w:lang w:val="es-ES_tradnl"/>
          <w14:textOutline w14:w="12700" w14:cap="flat">
            <w14:noFill/>
            <w14:miter w14:lim="400000"/>
          </w14:textOutline>
        </w:rPr>
        <w:t xml:space="preserve">petamine ning </w:t>
      </w:r>
    </w:p>
    <w:p>
      <w:pPr>
        <w:pStyle w:val="Pealkiri 1"/>
        <w:keepNext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line="240" w:lineRule="atLeast"/>
        <w:ind w:right="2772"/>
        <w:jc w:val="both"/>
        <w:outlineLvl w:val="9"/>
        <w:rPr>
          <w:b w:val="1"/>
          <w:bCs w:val="1"/>
          <w14:textOutline w14:w="12700" w14:cap="flat">
            <w14:noFill/>
            <w14:miter w14:lim="400000"/>
          </w14:textOutline>
        </w:rPr>
      </w:pPr>
      <w:r>
        <w:rPr>
          <w:b w:val="1"/>
          <w:bCs w:val="1"/>
          <w:rtl w:val="0"/>
          <w:lang w:val="fr-FR"/>
          <w14:textOutline w14:w="12700" w14:cap="flat">
            <w14:noFill/>
            <w14:miter w14:lim="400000"/>
          </w14:textOutline>
        </w:rPr>
        <w:t xml:space="preserve">Narva Linnavolikogu 26.04.2007 otsuse nr 158 </w:t>
      </w:r>
      <w:r>
        <w:rPr>
          <w:b w:val="1"/>
          <w:bCs w:val="1"/>
          <w:rtl w:val="1"/>
          <w:lang w:val="ar-SA" w:bidi="ar-SA"/>
          <w14:textOutline w14:w="12700" w14:cap="flat">
            <w14:noFill/>
            <w14:miter w14:lim="400000"/>
          </w14:textOutline>
        </w:rPr>
        <w:t>“</w:t>
      </w:r>
      <w:r>
        <w:rPr>
          <w:b w:val="1"/>
          <w:bCs w:val="1"/>
          <w:rtl w:val="0"/>
          <w:lang w:val="fr-FR"/>
          <w14:textOutline w14:w="12700" w14:cap="flat">
            <w14:noFill/>
            <w14:miter w14:lim="400000"/>
          </w14:textOutline>
        </w:rPr>
        <w:t>Kalda tn 16 maa-ala detailplaneeringu keskkonnam</w:t>
      </w:r>
      <w:r>
        <w:rPr>
          <w:b w:val="1"/>
          <w:bCs w:val="1"/>
          <w:rtl w:val="0"/>
          <w:lang w:val="pt-PT"/>
          <w14:textOutline w14:w="12700" w14:cap="flat">
            <w14:noFill/>
            <w14:miter w14:lim="400000"/>
          </w14:textOutline>
        </w:rPr>
        <w:t>õ</w:t>
      </w:r>
      <w:r>
        <w:rPr>
          <w:b w:val="1"/>
          <w:bCs w:val="1"/>
          <w:rtl w:val="0"/>
          <w:lang w:val="fr-FR"/>
          <w14:textOutline w14:w="12700" w14:cap="flat">
            <w14:noFill/>
            <w14:miter w14:lim="400000"/>
          </w14:textOutline>
        </w:rPr>
        <w:t>ju strateegiline hindamise algatamine</w:t>
      </w:r>
      <w:r>
        <w:rPr>
          <w:b w:val="1"/>
          <w:bCs w:val="1"/>
          <w:rtl w:val="0"/>
          <w:lang w:val="fr-FR"/>
          <w14:textOutline w14:w="12700" w14:cap="flat">
            <w14:noFill/>
            <w14:miter w14:lim="400000"/>
          </w14:textOutline>
        </w:rPr>
        <w:t xml:space="preserve">” </w:t>
      </w:r>
      <w:r>
        <w:rPr>
          <w:b w:val="1"/>
          <w:bCs w:val="1"/>
          <w:rtl w:val="0"/>
          <w:lang w:val="fr-FR"/>
          <w14:textOutline w14:w="12700" w14:cap="flat">
            <w14:noFill/>
            <w14:miter w14:lim="400000"/>
          </w14:textOutline>
        </w:rPr>
        <w:t>kehtetuks tunnistamine ja keskkonnam</w:t>
      </w:r>
      <w:r>
        <w:rPr>
          <w:b w:val="1"/>
          <w:bCs w:val="1"/>
          <w:rtl w:val="0"/>
          <w:lang w:val="pt-PT"/>
          <w14:textOutline w14:w="12700" w14:cap="flat">
            <w14:noFill/>
            <w14:miter w14:lim="400000"/>
          </w14:textOutline>
        </w:rPr>
        <w:t>õ</w:t>
      </w:r>
      <w:r>
        <w:rPr>
          <w:b w:val="1"/>
          <w:bCs w:val="1"/>
          <w:rtl w:val="0"/>
          <w:lang w:val="fr-FR"/>
          <w14:textOutline w14:w="12700" w14:cap="flat">
            <w14:noFill/>
            <w14:miter w14:lim="400000"/>
          </w14:textOutline>
        </w:rPr>
        <w:t>jude strateegilise hindamise koostamise l</w:t>
      </w:r>
      <w:r>
        <w:rPr>
          <w:b w:val="1"/>
          <w:bCs w:val="1"/>
          <w:rtl w:val="0"/>
          <w:lang w:val="pt-PT"/>
          <w14:textOutline w14:w="12700" w14:cap="flat">
            <w14:noFill/>
            <w14:miter w14:lim="400000"/>
          </w14:textOutline>
        </w:rPr>
        <w:t>õ</w:t>
      </w:r>
      <w:r>
        <w:rPr>
          <w:b w:val="1"/>
          <w:bCs w:val="1"/>
          <w:rtl w:val="0"/>
          <w:lang w:val="fr-FR"/>
          <w14:textOutline w14:w="12700" w14:cap="flat">
            <w14:noFill/>
            <w14:miter w14:lim="400000"/>
          </w14:textOutline>
        </w:rPr>
        <w:t>petamine</w:t>
      </w:r>
    </w:p>
    <w:p>
      <w:pPr>
        <w:pStyle w:val="Normaallaad"/>
        <w:rPr>
          <w:b w:val="1"/>
          <w:bCs w:val="1"/>
        </w:rPr>
      </w:pPr>
    </w:p>
    <w:p>
      <w:pPr>
        <w:pStyle w:val="Normaallaad"/>
        <w:rPr>
          <w:b w:val="1"/>
          <w:bCs w:val="1"/>
        </w:rPr>
      </w:pPr>
    </w:p>
    <w:p>
      <w:pPr>
        <w:pStyle w:val="Normaallaad"/>
      </w:pPr>
    </w:p>
    <w:p>
      <w:pPr>
        <w:pStyle w:val="Normaallaad"/>
      </w:pPr>
    </w:p>
    <w:p>
      <w:pPr>
        <w:pStyle w:val="Normaallaad"/>
        <w:rPr>
          <w:b w:val="1"/>
          <w:bCs w:val="1"/>
        </w:rPr>
      </w:pPr>
      <w:r>
        <w:rPr>
          <w:b w:val="1"/>
          <w:bCs w:val="1"/>
          <w:rtl w:val="0"/>
          <w:lang w:val="en-US"/>
        </w:rPr>
        <w:t>Narva Linnavalitsus otsustab:</w:t>
      </w:r>
    </w:p>
    <w:p>
      <w:pPr>
        <w:pStyle w:val="Normaallaad"/>
        <w:ind w:left="360" w:firstLine="0"/>
        <w:jc w:val="both"/>
      </w:pPr>
    </w:p>
    <w:p>
      <w:pPr>
        <w:pStyle w:val="Pealkiri 1"/>
        <w:numPr>
          <w:ilvl w:val="0"/>
          <w:numId w:val="2"/>
        </w:numPr>
        <w:jc w:val="both"/>
        <w:rPr>
          <w:lang w:val="en-US"/>
        </w:rPr>
      </w:pPr>
      <w:r>
        <w:rPr>
          <w:rtl w:val="0"/>
          <w:lang w:val="en-US"/>
        </w:rPr>
        <w:t>Taotleda Narva Linnavolikogult otsuse</w:t>
      </w:r>
      <w:r>
        <w:rPr>
          <w:rtl w:val="0"/>
          <w:lang w:val="en-US"/>
        </w:rPr>
        <w:t xml:space="preserve"> </w:t>
      </w:r>
      <w:r>
        <w:rPr>
          <w:rtl w:val="1"/>
          <w:lang w:val="ar-SA" w:bidi="ar-SA"/>
        </w:rPr>
        <w:t>“</w:t>
      </w:r>
      <w:r>
        <w:rPr>
          <w:rtl w:val="0"/>
          <w:lang w:val="fr-FR"/>
        </w:rPr>
        <w:t xml:space="preserve">Narva Linnavolikogu 09.06.2005 otsuse nr 88/56 </w:t>
      </w:r>
      <w:r>
        <w:rPr>
          <w:rtl w:val="1"/>
          <w:lang w:val="ar-SA" w:bidi="ar-SA"/>
        </w:rPr>
        <w:t>“</w:t>
      </w:r>
      <w:r>
        <w:rPr>
          <w:rtl w:val="0"/>
          <w:lang w:val="fr-FR"/>
        </w:rPr>
        <w:t>Kalda tn 16 maa-ala detailplaneeringu algatamine</w:t>
      </w:r>
      <w:r>
        <w:rPr>
          <w:rtl w:val="0"/>
          <w:lang w:val="fr-FR"/>
        </w:rPr>
        <w:t xml:space="preserve">” </w:t>
      </w:r>
      <w:r>
        <w:rPr>
          <w:rtl w:val="0"/>
          <w:lang w:val="fr-FR"/>
        </w:rPr>
        <w:t>kehtetuks tunnistami</w:t>
      </w:r>
      <w:r>
        <w:rPr>
          <w:rtl w:val="0"/>
          <w:lang w:val="fr-FR"/>
        </w:rPr>
        <w:t>n</w:t>
      </w:r>
      <w:r>
        <w:rPr>
          <w:rtl w:val="0"/>
          <w:lang w:val="fr-FR"/>
        </w:rPr>
        <w:t>e ja detailplaneeringu menetluse l</w:t>
      </w:r>
      <w:r>
        <w:rPr>
          <w:rtl w:val="0"/>
          <w:lang w:val="pt-PT"/>
        </w:rPr>
        <w:t>õ</w:t>
      </w:r>
      <w:r>
        <w:rPr>
          <w:rtl w:val="0"/>
          <w:lang w:val="es-ES_tradnl"/>
        </w:rPr>
        <w:t>petami</w:t>
      </w:r>
      <w:r>
        <w:rPr>
          <w:rtl w:val="0"/>
          <w:lang w:val="es-ES_tradnl"/>
        </w:rPr>
        <w:t>n</w:t>
      </w:r>
      <w:r>
        <w:rPr>
          <w:rtl w:val="0"/>
          <w:lang w:val="es-ES_tradnl"/>
        </w:rPr>
        <w:t xml:space="preserve">e ning </w:t>
      </w:r>
      <w:r>
        <w:rPr>
          <w:rtl w:val="0"/>
          <w:lang w:val="fr-FR"/>
        </w:rPr>
        <w:t xml:space="preserve">Narva Linnavolikogu 26.04.2007 otsuse nr 158 </w:t>
      </w:r>
      <w:r>
        <w:rPr>
          <w:rtl w:val="1"/>
          <w:lang w:val="ar-SA" w:bidi="ar-SA"/>
        </w:rPr>
        <w:t>“</w:t>
      </w:r>
      <w:r>
        <w:rPr>
          <w:rtl w:val="0"/>
          <w:lang w:val="fr-FR"/>
        </w:rPr>
        <w:t>Kalda tn 16 maa-ala detailplaneeringu keskkonnam</w:t>
      </w:r>
      <w:r>
        <w:rPr>
          <w:rtl w:val="0"/>
          <w:lang w:val="pt-PT"/>
        </w:rPr>
        <w:t>õ</w:t>
      </w:r>
      <w:r>
        <w:rPr>
          <w:rtl w:val="0"/>
          <w:lang w:val="fr-FR"/>
        </w:rPr>
        <w:t>ju strateegiline hindamise algatamine</w:t>
      </w:r>
      <w:r>
        <w:rPr>
          <w:rtl w:val="0"/>
          <w:lang w:val="fr-FR"/>
        </w:rPr>
        <w:t xml:space="preserve">” </w:t>
      </w:r>
      <w:r>
        <w:rPr>
          <w:rtl w:val="0"/>
          <w:lang w:val="fr-FR"/>
        </w:rPr>
        <w:t>kehtetuks tunnistami</w:t>
      </w:r>
      <w:r>
        <w:rPr>
          <w:rtl w:val="0"/>
          <w:lang w:val="fr-FR"/>
        </w:rPr>
        <w:t>n</w:t>
      </w:r>
      <w:r>
        <w:rPr>
          <w:rtl w:val="0"/>
          <w:lang w:val="fr-FR"/>
        </w:rPr>
        <w:t>e ja keskkonnam</w:t>
      </w:r>
      <w:r>
        <w:rPr>
          <w:rtl w:val="0"/>
          <w:lang w:val="pt-PT"/>
        </w:rPr>
        <w:t>õ</w:t>
      </w:r>
      <w:r>
        <w:rPr>
          <w:rtl w:val="0"/>
          <w:lang w:val="fr-FR"/>
        </w:rPr>
        <w:t>jude strateegilise hindamise koostamise l</w:t>
      </w:r>
      <w:r>
        <w:rPr>
          <w:rtl w:val="0"/>
          <w:lang w:val="pt-PT"/>
        </w:rPr>
        <w:t>õ</w:t>
      </w:r>
      <w:r>
        <w:rPr>
          <w:rtl w:val="0"/>
          <w:lang w:val="fr-FR"/>
        </w:rPr>
        <w:t>petami</w:t>
      </w:r>
      <w:r>
        <w:rPr>
          <w:rtl w:val="0"/>
          <w:lang w:val="fr-FR"/>
        </w:rPr>
        <w:t>n</w:t>
      </w:r>
      <w:r>
        <w:rPr>
          <w:rtl w:val="0"/>
          <w:lang w:val="fr-FR"/>
        </w:rPr>
        <w:t>e</w:t>
      </w:r>
      <w:r>
        <w:rPr>
          <w:rtl w:val="0"/>
          <w:lang w:val="fr-FR"/>
        </w:rPr>
        <w:t>”</w:t>
      </w:r>
      <w:r>
        <w:rPr>
          <w:rtl w:val="0"/>
          <w:lang w:val="fr-FR"/>
        </w:rPr>
        <w:t xml:space="preserve"> </w:t>
      </w:r>
      <w:r>
        <w:rPr>
          <w:rtl w:val="0"/>
          <w:lang w:val="en-US"/>
        </w:rPr>
        <w:t>vastuv</w:t>
      </w:r>
      <w:r>
        <w:rPr>
          <w:rtl w:val="0"/>
          <w:lang w:val="en-US"/>
        </w:rPr>
        <w:t>õ</w:t>
      </w:r>
      <w:r>
        <w:rPr>
          <w:rtl w:val="0"/>
          <w:lang w:val="en-US"/>
        </w:rPr>
        <w:t>tmist vastavalt esitatud otsuse eeln</w:t>
      </w:r>
      <w:r>
        <w:rPr>
          <w:rtl w:val="0"/>
          <w:lang w:val="pt-PT"/>
        </w:rPr>
        <w:t>õ</w:t>
      </w:r>
      <w:r>
        <w:rPr>
          <w:rtl w:val="0"/>
          <w:lang w:val="it-IT"/>
        </w:rPr>
        <w:t>ule.</w:t>
      </w:r>
    </w:p>
    <w:p>
      <w:pPr>
        <w:pStyle w:val="Pealkiri 1"/>
        <w:numPr>
          <w:ilvl w:val="0"/>
          <w:numId w:val="2"/>
        </w:numPr>
        <w:jc w:val="both"/>
        <w:rPr>
          <w:lang w:val="en-US"/>
        </w:rPr>
      </w:pPr>
      <w:r>
        <w:rPr>
          <w:rtl w:val="0"/>
          <w:lang w:val="en-US"/>
        </w:rPr>
        <w:t>Volitada Narva Linnavalitsuse Arhitektuuri- ja Linnaplaneerimise Ameti direktorit Kaie Enno</w:t>
      </w:r>
      <w:r>
        <w:rPr>
          <w:rtl w:val="0"/>
          <w:lang w:val="en-US"/>
        </w:rPr>
        <w:t>´</w:t>
      </w:r>
      <w:r>
        <w:rPr>
          <w:rtl w:val="0"/>
          <w:lang w:val="en-US"/>
        </w:rPr>
        <w:t>t nimetatud k</w:t>
      </w:r>
      <w:r>
        <w:rPr>
          <w:rtl w:val="0"/>
          <w:lang w:val="en-US"/>
        </w:rPr>
        <w:t>ü</w:t>
      </w:r>
      <w:r>
        <w:rPr>
          <w:rtl w:val="0"/>
          <w:lang w:val="en-US"/>
        </w:rPr>
        <w:t>simust Narva Linnavolikogus ette kandma.</w:t>
      </w:r>
    </w:p>
    <w:p>
      <w:pPr>
        <w:pStyle w:val="Normaallaad"/>
        <w:tabs>
          <w:tab w:val="left" w:pos="1260"/>
        </w:tabs>
        <w:ind w:left="360" w:firstLine="0"/>
        <w:jc w:val="both"/>
      </w:pPr>
    </w:p>
    <w:p>
      <w:pPr>
        <w:pStyle w:val="Normaallaad"/>
        <w:jc w:val="both"/>
      </w:pPr>
    </w:p>
    <w:p>
      <w:pPr>
        <w:pStyle w:val="Normaallaad"/>
        <w:jc w:val="both"/>
      </w:pPr>
    </w:p>
    <w:p>
      <w:pPr>
        <w:pStyle w:val="Normaallaad"/>
        <w:jc w:val="both"/>
      </w:pPr>
    </w:p>
    <w:p>
      <w:pPr>
        <w:pStyle w:val="Normaallaad"/>
        <w:jc w:val="both"/>
      </w:pPr>
    </w:p>
    <w:p>
      <w:pPr>
        <w:pStyle w:val="Normaallaad"/>
        <w:jc w:val="both"/>
      </w:pPr>
    </w:p>
    <w:p>
      <w:pPr>
        <w:pStyle w:val="Normaallaad"/>
      </w:pPr>
    </w:p>
    <w:tbl>
      <w:tblPr>
        <w:tblW w:w="8496" w:type="dxa"/>
        <w:jc w:val="left"/>
        <w:tblInd w:w="792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ced7e7"/>
        <w:tblLayout w:type="fixed"/>
      </w:tblPr>
      <w:tblGrid>
        <w:gridCol w:w="4248"/>
        <w:gridCol w:w="4248"/>
      </w:tblGrid>
      <w:tr>
        <w:tblPrEx>
          <w:shd w:val="clear" w:color="auto" w:fill="ced7e7"/>
        </w:tblPrEx>
        <w:trPr>
          <w:trHeight w:val="1210" w:hRule="atLeast"/>
        </w:trPr>
        <w:tc>
          <w:tcPr>
            <w:tcW w:type="dxa" w:w="424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Pealkiri 5"/>
              <w:rPr>
                <w:rFonts w:ascii="Times New Roman" w:cs="Times New Roman" w:hAnsi="Times New Roman" w:eastAsia="Times New Roman"/>
                <w:b w:val="0"/>
                <w:bCs w:val="0"/>
                <w:i w:val="0"/>
                <w:iCs w:val="0"/>
                <w:sz w:val="24"/>
                <w:szCs w:val="24"/>
                <w:shd w:val="nil" w:color="auto" w:fill="auto"/>
              </w:rPr>
            </w:pPr>
            <w:r>
              <w:rPr>
                <w:rFonts w:ascii="Times New Roman" w:hAnsi="Times New Roman"/>
                <w:b w:val="0"/>
                <w:bCs w:val="0"/>
                <w:i w:val="0"/>
                <w:iCs w:val="0"/>
                <w:sz w:val="24"/>
                <w:szCs w:val="24"/>
                <w:shd w:val="nil" w:color="auto" w:fill="auto"/>
                <w:rtl w:val="0"/>
                <w:lang w:val="en-US"/>
              </w:rPr>
              <w:t>Katri Raik</w:t>
            </w:r>
          </w:p>
          <w:p>
            <w:pPr>
              <w:pStyle w:val="Normaallaad"/>
              <w:bidi w:val="0"/>
              <w:ind w:left="0" w:right="0" w:firstLine="0"/>
              <w:jc w:val="left"/>
              <w:rPr>
                <w:rtl w:val="0"/>
              </w:rPr>
            </w:pPr>
            <w:r>
              <w:rPr>
                <w:shd w:val="nil" w:color="auto" w:fill="auto"/>
                <w:rtl w:val="0"/>
                <w:lang w:val="en-US"/>
              </w:rPr>
              <w:t>Linnapea</w:t>
            </w:r>
          </w:p>
        </w:tc>
        <w:tc>
          <w:tcPr>
            <w:tcW w:type="dxa" w:w="424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allaad"/>
              <w:rPr>
                <w:shd w:val="nil" w:color="auto" w:fill="auto"/>
                <w:lang w:val="en-US"/>
              </w:rPr>
            </w:pPr>
          </w:p>
          <w:p>
            <w:pPr>
              <w:pStyle w:val="Normaallaad"/>
              <w:bidi w:val="0"/>
              <w:ind w:left="0" w:right="0" w:firstLine="0"/>
              <w:jc w:val="left"/>
              <w:rPr>
                <w:shd w:val="nil" w:color="auto" w:fill="auto"/>
                <w:rtl w:val="0"/>
              </w:rPr>
            </w:pPr>
            <w:r>
              <w:rPr>
                <w:shd w:val="nil" w:color="auto" w:fill="auto"/>
                <w:rtl w:val="0"/>
                <w:lang w:val="en-US"/>
              </w:rPr>
              <w:t>Ü</w:t>
            </w:r>
            <w:r>
              <w:rPr>
                <w:shd w:val="nil" w:color="auto" w:fill="auto"/>
                <w:rtl w:val="0"/>
                <w:lang w:val="en-US"/>
              </w:rPr>
              <w:t>llar Kaljuste                                                                                                  Linnasekret</w:t>
            </w:r>
            <w:r>
              <w:rPr>
                <w:shd w:val="nil" w:color="auto" w:fill="auto"/>
                <w:rtl w:val="0"/>
                <w:lang w:val="en-US"/>
              </w:rPr>
              <w:t>ä</w:t>
            </w:r>
            <w:r>
              <w:rPr>
                <w:shd w:val="nil" w:color="auto" w:fill="auto"/>
                <w:rtl w:val="0"/>
                <w:lang w:val="en-US"/>
              </w:rPr>
              <w:t>r</w:t>
            </w:r>
          </w:p>
          <w:p>
            <w:pPr>
              <w:pStyle w:val="Normaallaad"/>
              <w:bidi w:val="0"/>
              <w:ind w:left="0" w:right="0" w:firstLine="0"/>
              <w:jc w:val="left"/>
              <w:rPr>
                <w:rtl w:val="0"/>
              </w:rPr>
            </w:pPr>
            <w:r>
              <w:rPr>
                <w:shd w:val="nil" w:color="auto" w:fill="auto"/>
                <w:rtl w:val="0"/>
                <w:lang w:val="en-US"/>
              </w:rPr>
              <w:t xml:space="preserve">                                                                                              </w:t>
            </w:r>
          </w:p>
        </w:tc>
      </w:tr>
    </w:tbl>
    <w:p>
      <w:pPr>
        <w:pStyle w:val="Normaallaad"/>
        <w:widowControl w:val="0"/>
        <w:ind w:left="684" w:hanging="684"/>
      </w:pPr>
    </w:p>
    <w:p>
      <w:pPr>
        <w:pStyle w:val="Normaallaad"/>
        <w:widowControl w:val="0"/>
        <w:ind w:left="576" w:hanging="576"/>
      </w:pPr>
      <w:r/>
    </w:p>
    <w:sectPr>
      <w:headerReference w:type="default" r:id="rId4"/>
      <w:footerReference w:type="default" r:id="rId5"/>
      <w:pgSz w:w="11900" w:h="16840" w:orient="portrait"/>
      <w:pgMar w:top="1440" w:right="987" w:bottom="1078" w:left="1620" w:header="709" w:footer="709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  <w:font w:name="Calibri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Колонтитулы"/>
      <w:bidi w:val="0"/>
    </w:pPr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Normaallaad"/>
      <w:jc w:val="right"/>
    </w:pPr>
    <w:r>
      <w:rPr>
        <w:b w:val="1"/>
        <w:bCs w:val="1"/>
        <w:outline w:val="0"/>
        <w:color w:val="808080"/>
        <w:sz w:val="18"/>
        <w:szCs w:val="18"/>
        <w:u w:color="808080"/>
        <w:rtl w:val="0"/>
        <w:lang w:val="en-US"/>
        <w14:textFill>
          <w14:solidFill>
            <w14:srgbClr w14:val="808080"/>
          </w14:solidFill>
        </w14:textFill>
      </w:rPr>
      <w:t>EELN</w:t>
    </w:r>
    <w:r>
      <w:rPr>
        <w:b w:val="1"/>
        <w:bCs w:val="1"/>
        <w:outline w:val="0"/>
        <w:color w:val="808080"/>
        <w:sz w:val="18"/>
        <w:szCs w:val="18"/>
        <w:u w:color="808080"/>
        <w:rtl w:val="0"/>
        <w:lang w:val="en-US"/>
        <w14:textFill>
          <w14:solidFill>
            <w14:srgbClr w14:val="808080"/>
          </w14:solidFill>
        </w14:textFill>
      </w:rPr>
      <w:t>Õ</w:t>
    </w:r>
    <w:r>
      <w:rPr>
        <w:b w:val="1"/>
        <w:bCs w:val="1"/>
        <w:outline w:val="0"/>
        <w:color w:val="808080"/>
        <w:sz w:val="18"/>
        <w:szCs w:val="18"/>
        <w:u w:color="808080"/>
        <w:rtl w:val="0"/>
        <w:lang w:val="en-US"/>
        <w14:textFill>
          <w14:solidFill>
            <w14:srgbClr w14:val="808080"/>
          </w14:solidFill>
        </w14:textFill>
      </w:rPr>
      <w:t>U</w:t>
    </w:r>
  </w:p>
</w:hdr>
</file>

<file path=word/numbering.xml><?xml version="1.0" encoding="utf-8"?>
<w:numbering xmlns:w="http://schemas.openxmlformats.org/wordprocessingml/2006/main" xmlns:wp="http://schemas.openxmlformats.org/drawingml/2006/wordprocessingDrawing" xmlns:w14="http://schemas.microsoft.com/office/word/2010/wordml" xmlns:r="http://schemas.openxmlformats.org/officeDocument/2006/relationships" xmlns:v="urn:schemas-microsoft-com:vml" xmlns:o="urn:schemas-microsoft-com:office:office">
  <w:abstractNum w:abstractNumId="0">
    <w:multiLevelType w:val="hybridMultilevel"/>
    <w:numStyleLink w:val="Импортированный стиль 1"/>
  </w:abstractNum>
  <w:abstractNum w:abstractNumId="1">
    <w:multiLevelType w:val="hybridMultilevel"/>
    <w:styleLink w:val="Импортированный стиль 1"/>
    <w:lvl w:ilvl="0">
      <w:start w:val="1"/>
      <w:numFmt w:val="decimal"/>
      <w:suff w:val="tab"/>
      <w:lvlText w:val="%1."/>
      <w:lvlJc w:val="left"/>
      <w:pPr>
        <w:ind w:left="7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lowerLetter"/>
      <w:suff w:val="tab"/>
      <w:lvlText w:val="%2."/>
      <w:lvlJc w:val="left"/>
      <w:pPr>
        <w:ind w:left="14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lowerRoman"/>
      <w:suff w:val="tab"/>
      <w:lvlText w:val="%3."/>
      <w:lvlJc w:val="left"/>
      <w:pPr>
        <w:ind w:left="2160" w:hanging="3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decimal"/>
      <w:suff w:val="tab"/>
      <w:lvlText w:val="%4."/>
      <w:lvlJc w:val="left"/>
      <w:pPr>
        <w:ind w:left="28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lowerLetter"/>
      <w:suff w:val="tab"/>
      <w:lvlText w:val="%5."/>
      <w:lvlJc w:val="left"/>
      <w:pPr>
        <w:ind w:left="36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lowerRoman"/>
      <w:suff w:val="tab"/>
      <w:lvlText w:val="%6."/>
      <w:lvlJc w:val="left"/>
      <w:pPr>
        <w:ind w:left="4320" w:hanging="3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suff w:val="tab"/>
      <w:lvlText w:val="%7."/>
      <w:lvlJc w:val="left"/>
      <w:pPr>
        <w:ind w:left="50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lowerLetter"/>
      <w:suff w:val="tab"/>
      <w:lvlText w:val="%8."/>
      <w:lvlJc w:val="left"/>
      <w:pPr>
        <w:ind w:left="57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lowerRoman"/>
      <w:suff w:val="tab"/>
      <w:lvlText w:val="%9."/>
      <w:lvlJc w:val="left"/>
      <w:pPr>
        <w:ind w:left="6480" w:hanging="3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20"/>
  <w:autoHyphenation w:val="0"/>
  <w:evenAndOddHeaders w:val="0"/>
  <w:bookFoldPrinting w:val="0"/>
  <w:noLineBreaksAfter w:lang="русский" w:val="‘“(〔[{〈《「『【⦅〘〖«〝︵︷︹︻︽︿﹁﹃﹇﹙﹛﹝｢"/>
  <w:noLineBreaksBefore w:lang="русский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Normaallaad">
    <w:name w:val="Normaallaad"/>
    <w:next w:val="Normaallaad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Times New Roman" w:cs="Arial Unicode MS" w:hAnsi="Times New Roman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 w:color="000000"/>
      <w:shd w:val="nil" w:color="auto" w:fill="auto"/>
      <w:vertAlign w:val="baseline"/>
      <w:lang w:val="en-US"/>
      <w14:textFill>
        <w14:solidFill>
          <w14:srgbClr w14:val="000000"/>
        </w14:solidFill>
      </w14:textFill>
    </w:rPr>
  </w:style>
  <w:style w:type="paragraph" w:styleId="Колонтитулы">
    <w:name w:val="Колонтитулы"/>
    <w:next w:val="Колонтитулы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Helvetica Neue" w:hAnsi="Helvetica Neue" w:eastAsia="Helvetica Neue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  <w:style w:type="paragraph" w:styleId="Pealkiri 2">
    <w:name w:val="Pealkiri 2"/>
    <w:next w:val="Normaallaad"/>
    <w:pPr>
      <w:keepNext w:val="1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2160" w:right="0" w:firstLine="0"/>
      <w:jc w:val="left"/>
      <w:outlineLvl w:val="1"/>
    </w:pPr>
    <w:rPr>
      <w:rFonts w:ascii="Arial" w:cs="Arial Unicode MS" w:hAnsi="Arial" w:eastAsia="Arial Unicode MS"/>
      <w:b w:val="1"/>
      <w:bCs w:val="1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8"/>
      <w:szCs w:val="28"/>
      <w:u w:val="none" w:color="000000"/>
      <w:shd w:val="nil" w:color="auto" w:fill="auto"/>
      <w:vertAlign w:val="baseline"/>
      <w:lang w:val="de-DE"/>
      <w14:textFill>
        <w14:solidFill>
          <w14:srgbClr w14:val="000000"/>
        </w14:solidFill>
      </w14:textFill>
    </w:rPr>
  </w:style>
  <w:style w:type="paragraph" w:styleId="Pealkiri 1">
    <w:name w:val="Pealkiri 1"/>
    <w:next w:val="Normaallaad"/>
    <w:pPr>
      <w:keepNext w:val="1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0"/>
    </w:pPr>
    <w:rPr>
      <w:rFonts w:ascii="Times New Roman" w:cs="Arial Unicode MS" w:hAnsi="Times New Roman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 w:color="000000"/>
      <w:shd w:val="nil" w:color="auto" w:fill="auto"/>
      <w:vertAlign w:val="baseline"/>
      <w:lang w:val="en-US"/>
      <w14:textFill>
        <w14:solidFill>
          <w14:srgbClr w14:val="000000"/>
        </w14:solidFill>
      </w14:textFill>
    </w:rPr>
  </w:style>
  <w:style w:type="numbering" w:styleId="Импортированный стиль 1">
    <w:name w:val="Импортированный стиль 1"/>
    <w:pPr>
      <w:numPr>
        <w:numId w:val="1"/>
      </w:numPr>
    </w:pPr>
  </w:style>
  <w:style w:type="paragraph" w:styleId="Pealkiri 5">
    <w:name w:val="Pealkiri 5"/>
    <w:next w:val="Normaallaad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240" w:after="60" w:line="240" w:lineRule="auto"/>
      <w:ind w:left="0" w:right="0" w:firstLine="0"/>
      <w:jc w:val="left"/>
      <w:outlineLvl w:val="2"/>
    </w:pPr>
    <w:rPr>
      <w:rFonts w:ascii="Calibri" w:cs="Arial Unicode MS" w:hAnsi="Calibri" w:eastAsia="Arial Unicode MS"/>
      <w:b w:val="1"/>
      <w:bCs w:val="1"/>
      <w:i w:val="1"/>
      <w:iCs w:val="1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6"/>
      <w:szCs w:val="26"/>
      <w:u w:val="none" w:color="000000"/>
      <w:shd w:val="nil" w:color="auto" w:fill="auto"/>
      <w:vertAlign w:val="baseline"/>
      <w:lang w:val="en-US"/>
      <w14:textFill>
        <w14:solidFill>
          <w14:srgbClr w14:val="000000"/>
        </w14:solidFill>
      </w14:textFill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header" Target="header1.xml"/><Relationship Id="rId5" Type="http://schemas.openxmlformats.org/officeDocument/2006/relationships/footer" Target="footer1.xml"/><Relationship Id="rId6" Type="http://schemas.openxmlformats.org/officeDocument/2006/relationships/numbering" Target="numbering.xml"/><Relationship Id="rId7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0" tIns="0" rIns="0" bIns="0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0" tIns="0" rIns="0" bIns="0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