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000" w:firstRow="0" w:lastRow="0" w:firstColumn="0" w:lastColumn="0" w:noHBand="0" w:noVBand="0"/>
      </w:tblPr>
      <w:tblGrid>
        <w:gridCol w:w="9922"/>
      </w:tblGrid>
      <w:tr w:rsidR="007B622A" w:rsidRPr="009C21A7" w14:paraId="19C09793" w14:textId="77777777" w:rsidTr="00AF34BF">
        <w:trPr>
          <w:tblCellSpacing w:w="0" w:type="dxa"/>
        </w:trPr>
        <w:tc>
          <w:tcPr>
            <w:tcW w:w="5000" w:type="pct"/>
          </w:tcPr>
          <w:p w14:paraId="057A45D0" w14:textId="77777777" w:rsidR="007B622A" w:rsidRDefault="007B622A" w:rsidP="00AF34BF">
            <w:pPr>
              <w:pStyle w:val="a3"/>
              <w:ind w:right="279"/>
              <w:rPr>
                <w:color w:val="auto"/>
                <w:lang w:val="et-EE"/>
              </w:rPr>
            </w:pPr>
            <w:r w:rsidRPr="007747F9">
              <w:rPr>
                <w:color w:val="auto"/>
                <w:lang w:val="et-EE"/>
              </w:rPr>
              <w:t xml:space="preserve">                                                                                                                                                                                                </w:t>
            </w:r>
            <w:r>
              <w:rPr>
                <w:color w:val="auto"/>
                <w:lang w:val="et-EE"/>
              </w:rPr>
              <w:t xml:space="preserve">                                                                                                                                                     </w:t>
            </w:r>
          </w:p>
          <w:p w14:paraId="3ED4F7AE" w14:textId="77777777" w:rsidR="007B622A" w:rsidRPr="009C21A7" w:rsidRDefault="007B622A" w:rsidP="00AF34BF">
            <w:pPr>
              <w:pStyle w:val="a3"/>
              <w:ind w:right="279"/>
              <w:rPr>
                <w:color w:val="auto"/>
                <w:lang w:val="et-EE"/>
              </w:rPr>
            </w:pPr>
            <w:r>
              <w:rPr>
                <w:color w:val="auto"/>
                <w:lang w:val="et-EE"/>
              </w:rPr>
              <w:t xml:space="preserve">                                                                                                                                               </w:t>
            </w:r>
            <w:r w:rsidRPr="009C21A7">
              <w:rPr>
                <w:color w:val="auto"/>
                <w:lang w:val="et-EE"/>
              </w:rPr>
              <w:t>Eelnõu</w:t>
            </w:r>
          </w:p>
          <w:p w14:paraId="0B2EB41E" w14:textId="77777777" w:rsidR="007B622A" w:rsidRPr="009C21A7" w:rsidRDefault="007B622A" w:rsidP="00AF34BF">
            <w:pPr>
              <w:pStyle w:val="a3"/>
              <w:jc w:val="center"/>
              <w:rPr>
                <w:b/>
                <w:bCs/>
                <w:color w:val="auto"/>
                <w:lang w:val="et-EE"/>
              </w:rPr>
            </w:pPr>
            <w:r w:rsidRPr="009C21A7">
              <w:rPr>
                <w:b/>
                <w:bCs/>
                <w:color w:val="auto"/>
                <w:lang w:val="et-EE"/>
              </w:rPr>
              <w:t>NARVA LINNAVALITSUS</w:t>
            </w:r>
          </w:p>
        </w:tc>
      </w:tr>
    </w:tbl>
    <w:p w14:paraId="0C83B07B" w14:textId="77777777" w:rsidR="007B622A" w:rsidRPr="009C21A7" w:rsidRDefault="007B622A" w:rsidP="007B622A">
      <w:pPr>
        <w:pStyle w:val="a3"/>
        <w:jc w:val="center"/>
        <w:rPr>
          <w:color w:val="auto"/>
          <w:lang w:val="et-EE"/>
        </w:rPr>
      </w:pPr>
      <w:r w:rsidRPr="009C21A7">
        <w:rPr>
          <w:b/>
          <w:bCs/>
          <w:color w:val="auto"/>
          <w:lang w:val="et-EE"/>
        </w:rPr>
        <w:t>KORRALDUS</w:t>
      </w:r>
      <w:r w:rsidRPr="009C21A7">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7B622A" w:rsidRPr="009C21A7" w14:paraId="091D28FB" w14:textId="77777777" w:rsidTr="00AF34BF">
        <w:trPr>
          <w:tblCellSpacing w:w="0" w:type="dxa"/>
        </w:trPr>
        <w:tc>
          <w:tcPr>
            <w:tcW w:w="1700" w:type="pct"/>
          </w:tcPr>
          <w:p w14:paraId="33161C80" w14:textId="77777777" w:rsidR="007B622A" w:rsidRPr="009C21A7" w:rsidRDefault="007B622A" w:rsidP="00AF34BF">
            <w:pPr>
              <w:rPr>
                <w:lang w:val="et-EE"/>
              </w:rPr>
            </w:pPr>
            <w:r w:rsidRPr="009C21A7">
              <w:rPr>
                <w:lang w:val="et-EE"/>
              </w:rPr>
              <w:t>Narva</w:t>
            </w:r>
          </w:p>
        </w:tc>
        <w:tc>
          <w:tcPr>
            <w:tcW w:w="3300" w:type="pct"/>
          </w:tcPr>
          <w:p w14:paraId="72502EB7" w14:textId="77777777" w:rsidR="007B622A" w:rsidRPr="009C21A7" w:rsidRDefault="007B622A" w:rsidP="00AF34BF">
            <w:pPr>
              <w:jc w:val="center"/>
              <w:rPr>
                <w:lang w:val="et-EE"/>
              </w:rPr>
            </w:pPr>
            <w:r w:rsidRPr="009C21A7">
              <w:rPr>
                <w:lang w:val="et-EE"/>
              </w:rPr>
              <w:t xml:space="preserve">                                                              .2023.a. nr </w:t>
            </w:r>
          </w:p>
        </w:tc>
      </w:tr>
      <w:tr w:rsidR="007B622A" w:rsidRPr="009C21A7" w14:paraId="14655BF2" w14:textId="77777777" w:rsidTr="00AF34BF">
        <w:trPr>
          <w:tblCellSpacing w:w="0" w:type="dxa"/>
        </w:trPr>
        <w:tc>
          <w:tcPr>
            <w:tcW w:w="1700" w:type="pct"/>
          </w:tcPr>
          <w:p w14:paraId="3EB9DA75" w14:textId="77777777" w:rsidR="007B622A" w:rsidRPr="009C21A7" w:rsidRDefault="007B622A" w:rsidP="00AF34BF">
            <w:pPr>
              <w:rPr>
                <w:lang w:val="et-EE"/>
              </w:rPr>
            </w:pPr>
          </w:p>
        </w:tc>
        <w:tc>
          <w:tcPr>
            <w:tcW w:w="3300" w:type="pct"/>
          </w:tcPr>
          <w:p w14:paraId="7AFE99F6" w14:textId="77777777" w:rsidR="007B622A" w:rsidRPr="009C21A7" w:rsidRDefault="007B622A" w:rsidP="00AF34BF">
            <w:pPr>
              <w:jc w:val="right"/>
              <w:rPr>
                <w:lang w:val="et-EE"/>
              </w:rPr>
            </w:pPr>
          </w:p>
        </w:tc>
      </w:tr>
    </w:tbl>
    <w:p w14:paraId="0F8503D8" w14:textId="77777777" w:rsidR="007B622A" w:rsidRPr="009C21A7" w:rsidRDefault="007B622A" w:rsidP="007B622A">
      <w:pPr>
        <w:rPr>
          <w:b/>
          <w:bCs/>
          <w:lang w:val="et-EE"/>
        </w:rPr>
      </w:pPr>
    </w:p>
    <w:p w14:paraId="7CF14065" w14:textId="77777777" w:rsidR="007B622A" w:rsidRPr="009C21A7" w:rsidRDefault="007B622A" w:rsidP="007B622A">
      <w:pPr>
        <w:rPr>
          <w:b/>
          <w:bCs/>
          <w:lang w:val="et-EE"/>
        </w:rPr>
      </w:pPr>
      <w:r w:rsidRPr="009C21A7">
        <w:rPr>
          <w:b/>
          <w:bCs/>
          <w:lang w:val="et-EE"/>
        </w:rPr>
        <w:t>Narva Kulgu tööstuspargi NPM magnetmaterjalide tehase ehitusloa menetluses keskkonnamõju hindamine algatamata jätmine ning ehitusloa andmine (Tehase tn 31//33// 39// 41// 43,</w:t>
      </w:r>
      <w:r w:rsidRPr="009C21A7">
        <w:rPr>
          <w:lang w:val="et-EE"/>
        </w:rPr>
        <w:t xml:space="preserve"> </w:t>
      </w:r>
      <w:r w:rsidRPr="009C21A7">
        <w:rPr>
          <w:b/>
          <w:bCs/>
          <w:lang w:val="et-EE"/>
        </w:rPr>
        <w:t xml:space="preserve">Vana-Joala tee T7, Tehase tänav L7)  </w:t>
      </w:r>
    </w:p>
    <w:p w14:paraId="4E40551B" w14:textId="77777777" w:rsidR="007B622A" w:rsidRPr="009C21A7" w:rsidRDefault="007B622A" w:rsidP="007B622A">
      <w:pPr>
        <w:rPr>
          <w:b/>
          <w:bCs/>
          <w:lang w:val="et-EE"/>
        </w:rPr>
      </w:pPr>
    </w:p>
    <w:p w14:paraId="150DD4BD" w14:textId="77777777" w:rsidR="007B622A" w:rsidRPr="009C21A7" w:rsidRDefault="007B622A" w:rsidP="007B622A">
      <w:pPr>
        <w:rPr>
          <w:b/>
          <w:bCs/>
          <w:lang w:val="et-EE"/>
        </w:rPr>
      </w:pPr>
    </w:p>
    <w:p w14:paraId="4EA707AA" w14:textId="77777777" w:rsidR="007B622A" w:rsidRPr="009C21A7" w:rsidRDefault="007B622A" w:rsidP="007B622A">
      <w:pPr>
        <w:numPr>
          <w:ilvl w:val="0"/>
          <w:numId w:val="1"/>
        </w:numPr>
        <w:tabs>
          <w:tab w:val="num" w:pos="360"/>
        </w:tabs>
        <w:ind w:hanging="720"/>
        <w:rPr>
          <w:b/>
          <w:lang w:val="et-EE"/>
        </w:rPr>
      </w:pPr>
      <w:r w:rsidRPr="009C21A7">
        <w:rPr>
          <w:b/>
          <w:lang w:val="et-EE"/>
        </w:rPr>
        <w:t>ASJAOLUD JA MENETLUSE KÄIK</w:t>
      </w:r>
    </w:p>
    <w:p w14:paraId="78DDD6A7" w14:textId="77777777" w:rsidR="007B622A" w:rsidRPr="009C21A7" w:rsidRDefault="007B622A" w:rsidP="007B622A">
      <w:pPr>
        <w:ind w:right="-1"/>
        <w:jc w:val="both"/>
        <w:rPr>
          <w:bCs/>
          <w:lang w:val="et-EE"/>
        </w:rPr>
      </w:pPr>
      <w:r w:rsidRPr="009C21A7">
        <w:rPr>
          <w:lang w:val="et-EE"/>
        </w:rPr>
        <w:t xml:space="preserve">04.04.2023 </w:t>
      </w:r>
      <w:r w:rsidRPr="009C21A7">
        <w:rPr>
          <w:bCs/>
          <w:lang w:val="et-EE"/>
        </w:rPr>
        <w:t xml:space="preserve">ehitisregistri keskkonda </w:t>
      </w:r>
      <w:r w:rsidRPr="009C21A7">
        <w:rPr>
          <w:lang w:val="et-EE"/>
        </w:rPr>
        <w:t xml:space="preserve"> laekus  läbivaatamiseks </w:t>
      </w:r>
      <w:r w:rsidRPr="009C21A7">
        <w:rPr>
          <w:bCs/>
          <w:lang w:val="et-EE"/>
        </w:rPr>
        <w:t>ehitusloa taotlus  nr  2311271/06288 Tehase tn 33, katastritunnus 51101:001:0785, Tehase tn 39,</w:t>
      </w:r>
      <w:r w:rsidRPr="009C21A7">
        <w:rPr>
          <w:lang w:val="et-EE"/>
        </w:rPr>
        <w:t xml:space="preserve"> katastritunnus </w:t>
      </w:r>
      <w:r w:rsidRPr="009C21A7">
        <w:rPr>
          <w:bCs/>
          <w:lang w:val="et-EE"/>
        </w:rPr>
        <w:t>51101:001:0786, Tehase tn  41, katastritunnus 51101:001:0790, Tehase tn 43, katastritunnus 51101:001:0791, kinnistule NPM magnetmaterjalide tehase tootmishoone, ehitisregistri koodiga 121401608, püstitamiseks. Ehitusloa taotlusele on lisatud tootmishoone teenindamiseks vajalikud ehitised. Need on:</w:t>
      </w:r>
      <w:r w:rsidRPr="009C21A7">
        <w:rPr>
          <w:lang w:val="et-EE"/>
        </w:rPr>
        <w:t xml:space="preserve"> </w:t>
      </w:r>
      <w:r w:rsidRPr="009C21A7">
        <w:rPr>
          <w:bCs/>
          <w:lang w:val="et-EE"/>
        </w:rPr>
        <w:t>vesiniktöötluse hoone - ehitisregistri kood 121401611, jäätmete katusealune - ehitisregistri  kood 221427818, rattaparkla - ehitisregistri kood 221427819, piirdeaed - ehitisregistri kood 221427820, gaasimahutid - ehitisregistri kood 221427821, jahutusvee pumpla - ehitisregistri kood 121401612, kraav - ehitisregistri kood 221427822, mis asub Vana-Joala tee T7 kinnistul, katastritunnus</w:t>
      </w:r>
      <w:r w:rsidRPr="009C21A7">
        <w:rPr>
          <w:lang w:val="et-EE"/>
        </w:rPr>
        <w:t xml:space="preserve"> </w:t>
      </w:r>
      <w:r w:rsidRPr="009C21A7">
        <w:rPr>
          <w:bCs/>
          <w:lang w:val="et-EE"/>
        </w:rPr>
        <w:t xml:space="preserve">51101:001:0801, parkla - ehitisregistri  kood 221427823, mis asub  Tehase tn 31 kinnistul, katastritunnus 51101:001:0784, kinnistusisene sidekanalisatsioon - ehitisregistri kood 221427824. Ehitusloa taotlus laekus koos ehitusprojektiga „NPM magnetmaterjalide tehas – 1. faas“, töö nr NPMP1, peaprojekteerija </w:t>
      </w:r>
      <w:proofErr w:type="spellStart"/>
      <w:r w:rsidRPr="009C21A7">
        <w:rPr>
          <w:bCs/>
          <w:lang w:val="et-EE"/>
        </w:rPr>
        <w:t>Norte</w:t>
      </w:r>
      <w:proofErr w:type="spellEnd"/>
      <w:r w:rsidRPr="009C21A7">
        <w:rPr>
          <w:bCs/>
          <w:lang w:val="et-EE"/>
        </w:rPr>
        <w:t>.</w:t>
      </w:r>
    </w:p>
    <w:p w14:paraId="7180B2F6" w14:textId="77777777" w:rsidR="007B622A" w:rsidRPr="009C21A7" w:rsidRDefault="007B622A" w:rsidP="007B622A">
      <w:pPr>
        <w:ind w:right="-1"/>
        <w:jc w:val="both"/>
        <w:rPr>
          <w:bCs/>
          <w:lang w:val="et-EE"/>
        </w:rPr>
      </w:pPr>
    </w:p>
    <w:p w14:paraId="715E6F97" w14:textId="77777777" w:rsidR="007B622A" w:rsidRPr="009C21A7" w:rsidRDefault="007B622A" w:rsidP="007B622A">
      <w:pPr>
        <w:ind w:right="-1"/>
        <w:jc w:val="both"/>
        <w:rPr>
          <w:bCs/>
          <w:lang w:val="et-EE"/>
        </w:rPr>
      </w:pPr>
      <w:r w:rsidRPr="009C21A7">
        <w:rPr>
          <w:bCs/>
          <w:lang w:val="et-EE"/>
        </w:rPr>
        <w:t>Ehitusprojektis käsitletavad kinnistud paiknevad Narva linnas Kulgu linnaosas. Piirkonnas kehtib Kulgu tööstusala detailplaneering, kehtestatud Narva Linnavolikogu 20.11.2014 otsusega nr 134, mis hõlmab ka käsitletavaid kinnistuid. Üldplaneeringu kohaselt paikneb käsitletav ala ettevõtlusehitise reservmaal.</w:t>
      </w:r>
    </w:p>
    <w:p w14:paraId="4EEBE72B" w14:textId="77777777" w:rsidR="007B622A" w:rsidRPr="009C21A7" w:rsidRDefault="007B622A" w:rsidP="007B622A">
      <w:pPr>
        <w:ind w:right="-1"/>
        <w:jc w:val="both"/>
        <w:rPr>
          <w:bCs/>
          <w:lang w:val="et-EE"/>
        </w:rPr>
      </w:pPr>
      <w:r w:rsidRPr="009C21A7">
        <w:rPr>
          <w:bCs/>
          <w:lang w:val="et-EE"/>
        </w:rPr>
        <w:t>Detailplaneeringu kohaselt on kinnistute puhul tegemist 90% ulatuses tootmishoone või laohoonemaa ja 10% ulatuses väikeettevõtluse hoone ja –tootmise hoonemaa sihtotstarbega kinnistutega. Projekteeritavate hoonete kasutusotstarbed on kooskõlas detailplaneeringus kavandatud sihtotstarvetega. Käesoleva projektiga projekteeritavad ehitised paiknevad detailplaneeringuga lubatud hoonestusalas.</w:t>
      </w:r>
    </w:p>
    <w:p w14:paraId="4B104B71" w14:textId="77777777" w:rsidR="007B622A" w:rsidRPr="009C21A7" w:rsidRDefault="007B622A" w:rsidP="007B622A">
      <w:pPr>
        <w:ind w:right="-1"/>
        <w:jc w:val="both"/>
        <w:rPr>
          <w:bCs/>
          <w:lang w:val="et-EE"/>
        </w:rPr>
      </w:pPr>
    </w:p>
    <w:p w14:paraId="4B2AFA54" w14:textId="32A418E8" w:rsidR="007B622A" w:rsidRPr="009C21A7" w:rsidRDefault="007B622A" w:rsidP="007B622A">
      <w:pPr>
        <w:jc w:val="both"/>
        <w:rPr>
          <w:lang w:val="et-EE"/>
        </w:rPr>
      </w:pPr>
      <w:r w:rsidRPr="009C21A7">
        <w:rPr>
          <w:lang w:val="et-EE"/>
        </w:rPr>
        <w:t xml:space="preserve">Ehitusloa menetlusse nr 359405 oli kaasatud kooskõlastamiseks ning arvamuse avaldamiseks Päästeameti Ida päästekeskus, Aktsiaselts Gaasivõrk,  Aktsiaselts NARVA SOOJUSVÕRK, Osaühing VKG Elektrivõrgud, </w:t>
      </w:r>
      <w:r w:rsidR="001927C9" w:rsidRPr="009C21A7">
        <w:rPr>
          <w:lang w:val="et-EE"/>
        </w:rPr>
        <w:t>Sihtasutus Ida-Viru Investeeringute Agentuur</w:t>
      </w:r>
      <w:r w:rsidRPr="009C21A7">
        <w:rPr>
          <w:lang w:val="et-EE"/>
        </w:rPr>
        <w:t xml:space="preserve">, Aktsiaselts Telia Eesti, Kaitseministeerium ning Narva Linnavalitsuse Arhitektuuri- ja Linnaplaneerimise Amet ja </w:t>
      </w:r>
      <w:r w:rsidR="001927C9" w:rsidRPr="009C21A7">
        <w:rPr>
          <w:lang w:val="et-EE"/>
        </w:rPr>
        <w:t xml:space="preserve">Narva Linnavalitsuse </w:t>
      </w:r>
      <w:r w:rsidRPr="009C21A7">
        <w:rPr>
          <w:lang w:val="et-EE"/>
        </w:rPr>
        <w:t>Linnamajandusamet.</w:t>
      </w:r>
    </w:p>
    <w:p w14:paraId="4AD23EE8" w14:textId="77777777" w:rsidR="007B622A" w:rsidRPr="009C21A7" w:rsidRDefault="007B622A" w:rsidP="007B622A">
      <w:pPr>
        <w:jc w:val="both"/>
        <w:rPr>
          <w:lang w:val="et-EE"/>
        </w:rPr>
      </w:pPr>
    </w:p>
    <w:p w14:paraId="7EC434AD" w14:textId="77777777" w:rsidR="007B622A" w:rsidRPr="009C21A7" w:rsidRDefault="007B622A" w:rsidP="007B622A">
      <w:pPr>
        <w:jc w:val="both"/>
        <w:rPr>
          <w:lang w:val="et-EE"/>
        </w:rPr>
      </w:pPr>
      <w:r w:rsidRPr="009C21A7">
        <w:rPr>
          <w:lang w:val="et-EE"/>
        </w:rPr>
        <w:t xml:space="preserve">Ehitusloa menetluse raames Narva Linnavalitsus (Peetri plats 5, tel 3599013, e-post </w:t>
      </w:r>
      <w:hyperlink r:id="rId5" w:history="1">
        <w:r w:rsidRPr="009C21A7">
          <w:rPr>
            <w:rStyle w:val="a4"/>
            <w:lang w:val="et-EE"/>
          </w:rPr>
          <w:t>narvalv@narva.ee</w:t>
        </w:r>
      </w:hyperlink>
      <w:r w:rsidRPr="009C21A7">
        <w:rPr>
          <w:lang w:val="et-EE"/>
        </w:rPr>
        <w:t>), kui keskkonnamõju hindamise (edaspidi KMH) algatamata jätmise otsustaja, menetluse käigus tõi välja järgmised asjaolud:</w:t>
      </w:r>
    </w:p>
    <w:p w14:paraId="4825CE5A" w14:textId="77777777" w:rsidR="007B622A" w:rsidRPr="009C21A7" w:rsidRDefault="007B622A" w:rsidP="007B622A">
      <w:pPr>
        <w:jc w:val="both"/>
        <w:rPr>
          <w:lang w:val="et-EE"/>
        </w:rPr>
      </w:pPr>
    </w:p>
    <w:p w14:paraId="6D6A361F" w14:textId="77777777" w:rsidR="007B622A" w:rsidRPr="009C21A7" w:rsidRDefault="007B622A" w:rsidP="007B622A">
      <w:pPr>
        <w:spacing w:after="120" w:line="259" w:lineRule="auto"/>
        <w:jc w:val="both"/>
        <w:rPr>
          <w:rFonts w:eastAsiaTheme="minorHAnsi"/>
          <w:lang w:val="et-EE" w:eastAsia="ru-RU"/>
        </w:rPr>
      </w:pPr>
      <w:r w:rsidRPr="009C21A7">
        <w:rPr>
          <w:rFonts w:eastAsiaTheme="minorHAnsi"/>
          <w:lang w:val="et-EE" w:eastAsia="ru-RU"/>
        </w:rPr>
        <w:t xml:space="preserve">Vastavalt projekti seletuskirjale kavandatakse Narva linna haldusterritooriumile magnetite tootmise tehast. Tootmine soovitakse rajada Narva linna Kulgu tööstuspargi territooriumile aadressil Tehase tn 31, 33, 39, 41, 43. Tehase toodeteks on haruldaste muldmetallide </w:t>
      </w:r>
      <w:proofErr w:type="spellStart"/>
      <w:r w:rsidRPr="009C21A7">
        <w:rPr>
          <w:rFonts w:eastAsiaTheme="minorHAnsi"/>
          <w:lang w:val="et-EE" w:eastAsia="ru-RU"/>
        </w:rPr>
        <w:t>ferrosulamitel</w:t>
      </w:r>
      <w:proofErr w:type="spellEnd"/>
      <w:r w:rsidRPr="009C21A7">
        <w:rPr>
          <w:rFonts w:eastAsiaTheme="minorHAnsi"/>
          <w:lang w:val="et-EE" w:eastAsia="ru-RU"/>
        </w:rPr>
        <w:t xml:space="preserve"> põhinevad kõrgefektiivsed magnetid. Neid on vaja elektriautodes, tuulikutes jm rakendustes. Kuna Euroopa Liit kavandab massiivset rohepööret, on oluline luua magnetite tootmisvõimsused Euroopas.</w:t>
      </w:r>
    </w:p>
    <w:p w14:paraId="1EAB44E4" w14:textId="77777777" w:rsidR="007B622A" w:rsidRPr="009C21A7" w:rsidRDefault="007B622A" w:rsidP="007B622A">
      <w:pPr>
        <w:spacing w:after="120" w:line="259" w:lineRule="auto"/>
        <w:jc w:val="both"/>
        <w:rPr>
          <w:rFonts w:eastAsiaTheme="minorHAnsi"/>
          <w:lang w:val="et-EE" w:eastAsia="ru-RU"/>
        </w:rPr>
      </w:pPr>
      <w:r w:rsidRPr="009C21A7">
        <w:rPr>
          <w:rFonts w:eastAsiaTheme="minorHAnsi"/>
          <w:lang w:val="et-EE" w:eastAsia="ru-RU"/>
        </w:rPr>
        <w:lastRenderedPageBreak/>
        <w:t>Narva Linnavolikogu 20.11.2014 otsusega nr 134 kehtestatud detailplaneeringu „Kulgu tööstusala detailplaneering“ kohaselt on kinnistute maa kasutamise sihtotstarbed 90% ulatuses tootmishoone või laohoone maa ja 10% ulatuses väikeettevõtluse hoone ja –tootmise hoone maa. Projekteeritavate hoonete kasutusotstarbed on kooskõlas detailplaneeringus kavandatud sihtotstarvetega. Käesoleva projektiga projekteeritavad ehitised paiknevad detailplaneeringuga lubatud hoonestusalas.</w:t>
      </w:r>
    </w:p>
    <w:p w14:paraId="2B7E9B99" w14:textId="69133B60" w:rsidR="007B622A" w:rsidRPr="009C21A7" w:rsidRDefault="007B622A" w:rsidP="007B622A">
      <w:pPr>
        <w:spacing w:before="120" w:line="259" w:lineRule="auto"/>
        <w:jc w:val="both"/>
        <w:rPr>
          <w:rFonts w:eastAsiaTheme="minorHAnsi"/>
          <w:lang w:val="et-EE" w:eastAsia="ru-RU"/>
        </w:rPr>
      </w:pPr>
      <w:r w:rsidRPr="009C21A7">
        <w:rPr>
          <w:rFonts w:eastAsiaTheme="minorHAnsi"/>
          <w:lang w:val="et-EE" w:eastAsia="ru-RU"/>
        </w:rPr>
        <w:t xml:space="preserve">Kavandatav tegevus ei ole nimetatud keskkonnamõju hindamise ja keskkonnajuhtimissüsteemi seaduses (edaspidi </w:t>
      </w:r>
      <w:proofErr w:type="spellStart"/>
      <w:r w:rsidRPr="009C21A7">
        <w:rPr>
          <w:rFonts w:eastAsiaTheme="minorHAnsi"/>
          <w:lang w:val="et-EE" w:eastAsia="ru-RU"/>
        </w:rPr>
        <w:t>KeHJS</w:t>
      </w:r>
      <w:proofErr w:type="spellEnd"/>
      <w:r w:rsidRPr="009C21A7">
        <w:rPr>
          <w:rFonts w:eastAsiaTheme="minorHAnsi"/>
          <w:lang w:val="et-EE" w:eastAsia="ru-RU"/>
        </w:rPr>
        <w:t>) § 6 lg 1, sh ei põhjusta kaasnev kemikaalikasutus käitise klassifitseerimist A-kategooria suurõnnetuse ohuga ettevõtteks kemikaaliseaduse alusel (teadaolevate andmete alusel vastab kavandatava tegevuse kemikaali-kasutus ohtliku, ehk C-kategooria ettevõtte, tunnustele). Samuti ei kaasne tegevusi, mis on planeerimisseaduse § 95 lõike 2 alusel Vabariigi Valitsuse</w:t>
      </w:r>
      <w:r w:rsidR="00D3200D" w:rsidRPr="009C21A7">
        <w:rPr>
          <w:rFonts w:eastAsiaTheme="minorHAnsi"/>
          <w:lang w:val="et-EE" w:eastAsia="ru-RU"/>
        </w:rPr>
        <w:t xml:space="preserve"> 01.10.2015</w:t>
      </w:r>
      <w:r w:rsidRPr="009C21A7">
        <w:rPr>
          <w:rFonts w:eastAsiaTheme="minorHAnsi"/>
          <w:lang w:val="et-EE" w:eastAsia="ru-RU"/>
        </w:rPr>
        <w:t xml:space="preserve"> määrusega nr 102 kehtestatud olulise ruumilise mõjuga ehitiste (ORME) nimekirjas.</w:t>
      </w:r>
    </w:p>
    <w:p w14:paraId="3323FBF9" w14:textId="77777777" w:rsidR="007B622A" w:rsidRPr="009C21A7" w:rsidRDefault="007B622A" w:rsidP="007B622A">
      <w:pPr>
        <w:spacing w:before="120" w:line="259" w:lineRule="auto"/>
        <w:jc w:val="both"/>
        <w:rPr>
          <w:rFonts w:eastAsiaTheme="minorHAnsi"/>
          <w:lang w:val="et-EE" w:eastAsia="ru-RU"/>
        </w:rPr>
      </w:pPr>
      <w:r w:rsidRPr="009C21A7">
        <w:rPr>
          <w:rFonts w:eastAsiaTheme="minorHAnsi"/>
          <w:lang w:val="et-EE" w:eastAsia="ru-RU"/>
        </w:rPr>
        <w:t xml:space="preserve">Kui kavandatav tegevus ei kuulu </w:t>
      </w:r>
      <w:proofErr w:type="spellStart"/>
      <w:r w:rsidRPr="009C21A7">
        <w:rPr>
          <w:rFonts w:eastAsiaTheme="minorHAnsi"/>
          <w:lang w:val="et-EE" w:eastAsia="ru-RU"/>
        </w:rPr>
        <w:t>KeHJS</w:t>
      </w:r>
      <w:proofErr w:type="spellEnd"/>
      <w:r w:rsidRPr="009C21A7">
        <w:rPr>
          <w:rFonts w:eastAsiaTheme="minorHAnsi"/>
          <w:lang w:val="et-EE" w:eastAsia="ru-RU"/>
        </w:rPr>
        <w:t xml:space="preserve"> § 6 lg 1 nimetatute hulka, peab otsustaja selgitama välja, kas kavandatav tegevus kuulub </w:t>
      </w:r>
      <w:proofErr w:type="spellStart"/>
      <w:r w:rsidRPr="009C21A7">
        <w:rPr>
          <w:rFonts w:eastAsiaTheme="minorHAnsi"/>
          <w:lang w:val="et-EE" w:eastAsia="ru-RU"/>
        </w:rPr>
        <w:t>KeHJS</w:t>
      </w:r>
      <w:proofErr w:type="spellEnd"/>
      <w:r w:rsidRPr="009C21A7">
        <w:rPr>
          <w:rFonts w:eastAsiaTheme="minorHAnsi"/>
          <w:lang w:val="et-EE" w:eastAsia="ru-RU"/>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Pr="009C21A7">
        <w:rPr>
          <w:rFonts w:eastAsiaTheme="minorHAnsi"/>
          <w:lang w:val="et-EE" w:eastAsia="ru-RU"/>
        </w:rPr>
        <w:t>KeHJS</w:t>
      </w:r>
      <w:proofErr w:type="spellEnd"/>
      <w:r w:rsidRPr="009C21A7">
        <w:rPr>
          <w:rFonts w:eastAsiaTheme="minorHAnsi"/>
          <w:lang w:val="et-EE" w:eastAsia="ru-RU"/>
        </w:rPr>
        <w:t xml:space="preserve"> § 6 lg 2´1 tegevusega.</w:t>
      </w:r>
    </w:p>
    <w:p w14:paraId="06864C90" w14:textId="77777777" w:rsidR="007B622A" w:rsidRPr="009C21A7" w:rsidRDefault="007B622A" w:rsidP="007B622A">
      <w:pPr>
        <w:spacing w:before="120" w:line="259" w:lineRule="auto"/>
        <w:jc w:val="both"/>
        <w:rPr>
          <w:rFonts w:eastAsiaTheme="minorHAnsi"/>
          <w:lang w:val="et-EE" w:eastAsia="ru-RU"/>
        </w:rPr>
      </w:pPr>
      <w:r w:rsidRPr="009C21A7">
        <w:rPr>
          <w:rFonts w:eastAsiaTheme="minorHAnsi"/>
          <w:lang w:val="et-EE" w:eastAsia="ru-RU"/>
        </w:rPr>
        <w:t xml:space="preserve">Antud juhul kuulub kavandatav tegevus </w:t>
      </w:r>
      <w:proofErr w:type="spellStart"/>
      <w:r w:rsidRPr="009C21A7">
        <w:rPr>
          <w:rFonts w:eastAsiaTheme="minorHAnsi"/>
          <w:lang w:val="et-EE" w:eastAsia="ru-RU"/>
        </w:rPr>
        <w:t>KeHJS</w:t>
      </w:r>
      <w:proofErr w:type="spellEnd"/>
      <w:r w:rsidRPr="009C21A7">
        <w:rPr>
          <w:rFonts w:eastAsiaTheme="minorHAnsi"/>
          <w:lang w:val="et-EE" w:eastAsia="ru-RU"/>
        </w:rPr>
        <w:t xml:space="preserve"> § 6 lg 2 p 11 ja p 13 mainitud valdkonda. Samas on kavandatud tegevus nimetatud Vabariigi Valitsuse 29.08.2005 määruses nr 224 „Tegevusvaldkondade, mille korral tuleb anda keskkonnamõju hindamise vajalikkuse eelhinnang, täpsustatud loetelu“ (kuulub nimetatud määruse nr 224:</w:t>
      </w:r>
    </w:p>
    <w:p w14:paraId="6933E044" w14:textId="77777777" w:rsidR="007B622A" w:rsidRPr="009C21A7" w:rsidRDefault="007B622A" w:rsidP="007B622A">
      <w:pPr>
        <w:numPr>
          <w:ilvl w:val="0"/>
          <w:numId w:val="3"/>
        </w:numPr>
        <w:spacing w:after="160" w:line="259" w:lineRule="auto"/>
        <w:contextualSpacing/>
        <w:jc w:val="both"/>
        <w:rPr>
          <w:rFonts w:eastAsiaTheme="minorHAnsi"/>
          <w:lang w:val="et-EE" w:eastAsia="ru-RU"/>
        </w:rPr>
      </w:pPr>
      <w:r w:rsidRPr="009C21A7">
        <w:rPr>
          <w:rFonts w:eastAsiaTheme="minorHAnsi"/>
          <w:lang w:val="et-EE" w:eastAsia="ru-RU"/>
        </w:rPr>
        <w:t>§ 15 p 1 ainete, esemete või toodete pinnatöötlus orgaaniliste lahustite kasutamine, näiteks viimistlemine</w:t>
      </w:r>
      <w:r w:rsidRPr="009C21A7">
        <w:rPr>
          <w:rFonts w:asciiTheme="minorHAnsi" w:eastAsiaTheme="minorHAnsi" w:hAnsiTheme="minorHAnsi" w:cstheme="minorBidi"/>
          <w:lang w:val="et-EE"/>
        </w:rPr>
        <w:t xml:space="preserve">, </w:t>
      </w:r>
      <w:r w:rsidRPr="009C21A7">
        <w:rPr>
          <w:rFonts w:eastAsiaTheme="minorHAnsi"/>
          <w:lang w:val="et-EE" w:eastAsia="ru-RU"/>
        </w:rPr>
        <w:t xml:space="preserve">trükkimine, katmine, rasvaärastus, veekindluse tagamine, kruntimine, värvimine, puhastamine või impregneerimine, kui orgaaniliste ainete kulu on üle 50 tonni aastas või üle 150 kilogrammi tunnis (toodetud magnetite </w:t>
      </w:r>
      <w:proofErr w:type="spellStart"/>
      <w:r w:rsidRPr="009C21A7">
        <w:rPr>
          <w:rFonts w:eastAsiaTheme="minorHAnsi"/>
          <w:lang w:val="et-EE" w:eastAsia="ru-RU"/>
        </w:rPr>
        <w:t>epoksiidvärviga</w:t>
      </w:r>
      <w:proofErr w:type="spellEnd"/>
      <w:r w:rsidRPr="009C21A7">
        <w:rPr>
          <w:rFonts w:eastAsiaTheme="minorHAnsi"/>
          <w:lang w:val="et-EE" w:eastAsia="ru-RU"/>
        </w:rPr>
        <w:t xml:space="preserve"> katmisel ja pindade puhastamisel ületab lahustikulu aastase künnise, nimetatud kasutusaladel kulub lahusteid 82 t/a, summaarne lenduvate orgaaniliste ühendite kasutus, sh lahustid on 107 t/a). </w:t>
      </w:r>
    </w:p>
    <w:p w14:paraId="062F7423" w14:textId="77777777" w:rsidR="007B622A" w:rsidRPr="009C21A7" w:rsidRDefault="007B622A" w:rsidP="007B622A">
      <w:pPr>
        <w:numPr>
          <w:ilvl w:val="0"/>
          <w:numId w:val="3"/>
        </w:numPr>
        <w:spacing w:after="160" w:line="259" w:lineRule="auto"/>
        <w:contextualSpacing/>
        <w:jc w:val="both"/>
        <w:rPr>
          <w:rFonts w:eastAsiaTheme="minorHAnsi"/>
          <w:lang w:val="et-EE" w:eastAsia="ru-RU"/>
        </w:rPr>
      </w:pPr>
      <w:r w:rsidRPr="009C21A7">
        <w:rPr>
          <w:rFonts w:eastAsiaTheme="minorHAnsi"/>
          <w:lang w:val="et-EE" w:eastAsia="ru-RU"/>
        </w:rPr>
        <w:t xml:space="preserve">Kogu kompleksi silmas pidades tuleb eelhinnangu kohustus ka vesiniku tootmisest (määruse § 6 p 1). Selgitus, et vesiniku tootmine ei ole </w:t>
      </w:r>
      <w:proofErr w:type="spellStart"/>
      <w:r w:rsidRPr="009C21A7">
        <w:rPr>
          <w:rFonts w:eastAsiaTheme="minorHAnsi"/>
          <w:lang w:val="et-EE" w:eastAsia="ru-RU"/>
        </w:rPr>
        <w:t>KeHJS</w:t>
      </w:r>
      <w:proofErr w:type="spellEnd"/>
      <w:r w:rsidRPr="009C21A7">
        <w:rPr>
          <w:rFonts w:eastAsiaTheme="minorHAnsi"/>
          <w:lang w:val="et-EE" w:eastAsia="ru-RU"/>
        </w:rPr>
        <w:t xml:space="preserve"> § 6 lg 1 p 11 nimetatud tegevus: aine tootmine toimub tööstuslikus mahus</w:t>
      </w:r>
      <w:r w:rsidRPr="009C21A7">
        <w:rPr>
          <w:rFonts w:asciiTheme="minorHAnsi" w:eastAsiaTheme="minorHAnsi" w:hAnsiTheme="minorHAnsi" w:cstheme="minorBidi"/>
          <w:lang w:val="et-EE"/>
        </w:rPr>
        <w:t xml:space="preserve"> </w:t>
      </w:r>
      <w:proofErr w:type="spellStart"/>
      <w:r w:rsidRPr="009C21A7">
        <w:rPr>
          <w:rFonts w:eastAsiaTheme="minorHAnsi"/>
          <w:lang w:val="et-EE" w:eastAsia="ru-RU"/>
        </w:rPr>
        <w:t>elektro</w:t>
      </w:r>
      <w:proofErr w:type="spellEnd"/>
      <w:r w:rsidRPr="009C21A7">
        <w:rPr>
          <w:rFonts w:eastAsiaTheme="minorHAnsi"/>
          <w:lang w:val="et-EE" w:eastAsia="ru-RU"/>
        </w:rPr>
        <w:t>/keemilise protsessi abil, vesinik on anorgaaniline põhikemikaal. Kuid keemiline protsess (elektrolüüs) toimub ühe seadmega (KMH tingimuseks on  ’kui mitu seadet on järjestatud ja omavahel funktsionaalselt seotud’).</w:t>
      </w:r>
    </w:p>
    <w:p w14:paraId="6587179D" w14:textId="77777777" w:rsidR="007B622A" w:rsidRPr="009C21A7" w:rsidRDefault="007B622A" w:rsidP="007B622A">
      <w:pPr>
        <w:pStyle w:val="a6"/>
        <w:rPr>
          <w:bCs/>
          <w:noProof/>
          <w:lang w:val="et-EE"/>
        </w:rPr>
      </w:pPr>
      <w:proofErr w:type="spellStart"/>
      <w:r w:rsidRPr="009C21A7">
        <w:rPr>
          <w:rFonts w:eastAsiaTheme="minorHAnsi"/>
          <w:lang w:val="et-EE"/>
        </w:rPr>
        <w:t>KeHJS</w:t>
      </w:r>
      <w:proofErr w:type="spellEnd"/>
      <w:r w:rsidRPr="009C21A7">
        <w:rPr>
          <w:rFonts w:eastAsiaTheme="minorHAnsi"/>
          <w:lang w:val="et-EE"/>
        </w:rPr>
        <w:t xml:space="preserve"> § 6 lg 4 ning VV 29.08.2005 määruses nr 224 „Tegevusvaldkondade, mille korral tuleb anda keskkonnamõju hindamise vajalikkuse eelhinnang, täpsustatud loetelu“ kohaselt tuleb antud juhul anda eelhinnang selle kohta, kas tegevusel on oluline keskkonnamõju.</w:t>
      </w:r>
    </w:p>
    <w:p w14:paraId="0AA1C505" w14:textId="77777777" w:rsidR="007B622A" w:rsidRPr="009C21A7" w:rsidRDefault="007B622A" w:rsidP="007B622A">
      <w:pPr>
        <w:spacing w:before="120" w:line="259" w:lineRule="auto"/>
        <w:jc w:val="both"/>
        <w:rPr>
          <w:rFonts w:eastAsiaTheme="minorHAnsi"/>
          <w:lang w:val="et-EE"/>
        </w:rPr>
      </w:pPr>
      <w:r w:rsidRPr="009C21A7">
        <w:rPr>
          <w:rFonts w:eastAsiaTheme="minorHAnsi"/>
          <w:lang w:val="et-EE"/>
        </w:rPr>
        <w:t>Kavandatav tehas on perspektiivse vesiniku tootmise tõttu keskkonnakompleksloa kohustusega (toodetakse põhikemikaale). Vastavalt tööstusheite seaduse (THS) § 25 lg 2 on kompleksluba nõutav käitise kui terviku käitamiseks.</w:t>
      </w:r>
    </w:p>
    <w:p w14:paraId="7B100244" w14:textId="77777777" w:rsidR="007B622A" w:rsidRPr="009C21A7" w:rsidRDefault="007B622A" w:rsidP="007B622A">
      <w:pPr>
        <w:pStyle w:val="a6"/>
        <w:rPr>
          <w:rFonts w:eastAsiaTheme="minorHAnsi"/>
          <w:lang w:val="et-EE"/>
        </w:rPr>
      </w:pPr>
    </w:p>
    <w:p w14:paraId="3033E669" w14:textId="77777777" w:rsidR="007B622A" w:rsidRPr="009C21A7" w:rsidRDefault="007B622A" w:rsidP="007B622A">
      <w:pPr>
        <w:spacing w:line="259" w:lineRule="auto"/>
        <w:jc w:val="both"/>
        <w:rPr>
          <w:rFonts w:eastAsiaTheme="minorHAnsi"/>
          <w:lang w:val="et-EE"/>
        </w:rPr>
      </w:pPr>
      <w:r w:rsidRPr="009C21A7">
        <w:rPr>
          <w:rFonts w:eastAsiaTheme="minorHAnsi"/>
          <w:lang w:val="et-EE"/>
        </w:rPr>
        <w:t xml:space="preserve">Haruldaste muldmetallide ümbersulatamise võimsus, ca 15 tonni ööpäevas, jääb alla määruse nr 224 § 4 punktis 7 toodud eelhinnangu andmise künniskoguse (20 tonni ööpäevas värviliste metallide või teisese toorme sulatamine ja sulamite valmistamine rafineerimise, valamise jm eesmärgil). Samuti on pinna keemilise eeltöötlemise ehk </w:t>
      </w:r>
      <w:proofErr w:type="spellStart"/>
      <w:r w:rsidRPr="009C21A7">
        <w:rPr>
          <w:rFonts w:eastAsiaTheme="minorHAnsi"/>
          <w:lang w:val="et-EE"/>
        </w:rPr>
        <w:t>fosfateerimise</w:t>
      </w:r>
      <w:proofErr w:type="spellEnd"/>
      <w:r w:rsidRPr="009C21A7">
        <w:rPr>
          <w:rFonts w:eastAsiaTheme="minorHAnsi"/>
          <w:lang w:val="et-EE"/>
        </w:rPr>
        <w:t xml:space="preserve"> vannide kogumaht ca 10 m</w:t>
      </w:r>
      <w:r w:rsidRPr="009C21A7">
        <w:rPr>
          <w:rFonts w:eastAsiaTheme="minorHAnsi"/>
          <w:vertAlign w:val="superscript"/>
          <w:lang w:val="et-EE"/>
        </w:rPr>
        <w:t>3</w:t>
      </w:r>
      <w:r w:rsidRPr="009C21A7">
        <w:rPr>
          <w:rFonts w:eastAsiaTheme="minorHAnsi"/>
          <w:lang w:val="et-EE"/>
        </w:rPr>
        <w:t xml:space="preserve"> väiksem määruse § 4 punktis 8 toodud künnisest (</w:t>
      </w:r>
      <w:proofErr w:type="spellStart"/>
      <w:r w:rsidRPr="009C21A7">
        <w:rPr>
          <w:rFonts w:eastAsiaTheme="minorHAnsi"/>
          <w:lang w:val="et-EE"/>
        </w:rPr>
        <w:t>elektrokeemilise</w:t>
      </w:r>
      <w:proofErr w:type="spellEnd"/>
      <w:r w:rsidRPr="009C21A7">
        <w:rPr>
          <w:rFonts w:eastAsiaTheme="minorHAnsi"/>
          <w:lang w:val="et-EE"/>
        </w:rPr>
        <w:t xml:space="preserve"> või keemilise töötlemise vannide kogumaht ületab 30 m</w:t>
      </w:r>
      <w:r w:rsidRPr="009C21A7">
        <w:rPr>
          <w:rFonts w:eastAsiaTheme="minorHAnsi"/>
          <w:vertAlign w:val="superscript"/>
          <w:lang w:val="et-EE"/>
        </w:rPr>
        <w:t>3</w:t>
      </w:r>
      <w:r w:rsidRPr="009C21A7">
        <w:rPr>
          <w:rFonts w:eastAsiaTheme="minorHAnsi"/>
          <w:lang w:val="et-EE"/>
        </w:rPr>
        <w:t>).</w:t>
      </w:r>
    </w:p>
    <w:p w14:paraId="521B1FC9" w14:textId="77777777" w:rsidR="007B622A" w:rsidRPr="009C21A7" w:rsidRDefault="007B622A" w:rsidP="007B622A">
      <w:pPr>
        <w:spacing w:line="259" w:lineRule="auto"/>
        <w:jc w:val="both"/>
        <w:rPr>
          <w:rFonts w:eastAsiaTheme="minorHAnsi"/>
          <w:lang w:val="et-EE"/>
        </w:rPr>
      </w:pPr>
      <w:r w:rsidRPr="009C21A7">
        <w:rPr>
          <w:rFonts w:eastAsiaTheme="minorHAnsi"/>
          <w:lang w:val="et-EE"/>
        </w:rPr>
        <w:t xml:space="preserve">Vanade magnetite ümbersulatamise võimsus, ca 15 tonni ööpäevas, jääb alla määruse nr 224 § 4 punktis 7 toodud eelhinnangu andmise künniskoguse (20 tonni ööpäevas värviliste metallide või teisese toorme sulatamine ja sulamite valmistamine rafineerimise, valamise jm eesmärgil). Samuti on pinna keemilise eeltöötlemise ehk </w:t>
      </w:r>
      <w:proofErr w:type="spellStart"/>
      <w:r w:rsidRPr="009C21A7">
        <w:rPr>
          <w:rFonts w:eastAsiaTheme="minorHAnsi"/>
          <w:lang w:val="et-EE"/>
        </w:rPr>
        <w:t>fosfateerimise</w:t>
      </w:r>
      <w:proofErr w:type="spellEnd"/>
      <w:r w:rsidRPr="009C21A7">
        <w:rPr>
          <w:rFonts w:eastAsiaTheme="minorHAnsi"/>
          <w:lang w:val="et-EE"/>
        </w:rPr>
        <w:t xml:space="preserve"> vannide kogumaht ca 10 m</w:t>
      </w:r>
      <w:r w:rsidRPr="009C21A7">
        <w:rPr>
          <w:rFonts w:eastAsiaTheme="minorHAnsi"/>
          <w:vertAlign w:val="superscript"/>
          <w:lang w:val="et-EE"/>
        </w:rPr>
        <w:t>3</w:t>
      </w:r>
      <w:r w:rsidRPr="009C21A7">
        <w:rPr>
          <w:rFonts w:eastAsiaTheme="minorHAnsi"/>
          <w:lang w:val="et-EE"/>
        </w:rPr>
        <w:t xml:space="preserve"> väiksem määruse § 4 punktis 8 toodud künnisest (</w:t>
      </w:r>
      <w:proofErr w:type="spellStart"/>
      <w:r w:rsidRPr="009C21A7">
        <w:rPr>
          <w:rFonts w:eastAsiaTheme="minorHAnsi"/>
          <w:lang w:val="et-EE"/>
        </w:rPr>
        <w:t>elektrokeemilise</w:t>
      </w:r>
      <w:proofErr w:type="spellEnd"/>
      <w:r w:rsidRPr="009C21A7">
        <w:rPr>
          <w:rFonts w:eastAsiaTheme="minorHAnsi"/>
          <w:lang w:val="et-EE"/>
        </w:rPr>
        <w:t xml:space="preserve"> või keemilise töötlemise vannide kogumaht ületab 30 m</w:t>
      </w:r>
      <w:r w:rsidRPr="009C21A7">
        <w:rPr>
          <w:rFonts w:eastAsiaTheme="minorHAnsi"/>
          <w:vertAlign w:val="superscript"/>
          <w:lang w:val="et-EE"/>
        </w:rPr>
        <w:t>3</w:t>
      </w:r>
      <w:r w:rsidRPr="009C21A7">
        <w:rPr>
          <w:rFonts w:eastAsiaTheme="minorHAnsi"/>
          <w:lang w:val="et-EE"/>
        </w:rPr>
        <w:t>).</w:t>
      </w:r>
    </w:p>
    <w:p w14:paraId="759F5375" w14:textId="77777777" w:rsidR="007B622A" w:rsidRPr="009C21A7" w:rsidRDefault="007B622A" w:rsidP="007B622A">
      <w:pPr>
        <w:spacing w:before="120" w:line="259" w:lineRule="auto"/>
        <w:jc w:val="both"/>
        <w:rPr>
          <w:rFonts w:eastAsiaTheme="minorHAnsi"/>
          <w:lang w:val="et-EE"/>
        </w:rPr>
      </w:pPr>
      <w:r w:rsidRPr="009C21A7">
        <w:rPr>
          <w:bCs/>
          <w:noProof/>
          <w:lang w:val="et-EE"/>
        </w:rPr>
        <w:lastRenderedPageBreak/>
        <w:t>Keskkonnamõju hindamise algatamise või algatamata jätmise kaalutlus põhineb „</w:t>
      </w:r>
      <w:r w:rsidRPr="009C21A7">
        <w:rPr>
          <w:rFonts w:eastAsiaTheme="minorHAnsi"/>
          <w:bCs/>
          <w:noProof/>
          <w:lang w:val="et-EE"/>
        </w:rPr>
        <w:t>Narva Kulgu tööstuspargi magnetite valmistamise tehase rajamise keskkonnamõju hindamise (KMH) eelhinnangul“ (lisatud korralduse juurde).</w:t>
      </w:r>
    </w:p>
    <w:p w14:paraId="7C51AFDA" w14:textId="77777777" w:rsidR="007B622A" w:rsidRPr="009C21A7" w:rsidRDefault="007B622A" w:rsidP="007B622A">
      <w:pPr>
        <w:spacing w:before="120" w:line="259" w:lineRule="auto"/>
        <w:jc w:val="both"/>
        <w:rPr>
          <w:rFonts w:eastAsiaTheme="minorHAnsi"/>
          <w:lang w:val="et-EE"/>
        </w:rPr>
      </w:pPr>
      <w:r w:rsidRPr="009C21A7">
        <w:rPr>
          <w:rFonts w:eastAsiaTheme="minorHAnsi"/>
          <w:lang w:val="et-EE"/>
        </w:rPr>
        <w:t>Keskkonnamõju hindamise (KMH) läbiviimine antud juhul ei ole vajalik järgmistel põhjustel:</w:t>
      </w:r>
    </w:p>
    <w:p w14:paraId="64D4443D"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Projektiga ei kavandata olulise keskkonnamõjuga tegevusi, millega kaasneks keskkonnaseisundi kahjustumist, sh vee, pinnase, olulist müratasemete suurenemist;</w:t>
      </w:r>
    </w:p>
    <w:p w14:paraId="3E4AD6B7"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Lähtudes kavandatava tegevuse asukoha ja selle lähiümbruse keskkonnatingimustest, ei põhjusta tehase rajamine ning sihtotstarbeline kasutamine antud kohas olulist keskkonnamõju. Tegevusega kaasnevad võimalikud mõjud on ehitusaegsed või tootmisprotsessiga kaasnevad, nende ulatus piirneb peamiselt planeeringualaga ning avariiolukordade esinemise tõenäosus on väike, kui tegevuse elluviimisel arvestatakse keskkonnaloa tingimusi ja õigusaktide nõudeid;</w:t>
      </w:r>
    </w:p>
    <w:p w14:paraId="581BFC4D"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Kavandatava tehase lähialal ei paikne kaitstavaid loodusobjekte, mida kavandatav tegevus võib mõjutada. III kategooria kaitsealuste liikide elupaik asub kavandatava tegevuse asukohast ca 680 m kaugusel;</w:t>
      </w:r>
    </w:p>
    <w:p w14:paraId="44AAFD4C"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Kavandatav tegevus ei kahjusta inimeste tervist, heaolu ega vara, sest planeeringuala asub tööstuspiirkonna linnaosas ning lähimad elamumaad asuvad Maa-ameti kaardirakenduse järgi ca 450 m kaugusel;</w:t>
      </w:r>
    </w:p>
    <w:p w14:paraId="6EC438F4"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 xml:space="preserve">Tehase tegevusega ei kaasne vibratsiooni, ülemäärase valguse, soojuse ja kiirguse teket, mis võiks olla olulise keskkonnamõju allikaks; </w:t>
      </w:r>
    </w:p>
    <w:p w14:paraId="78C9DB81"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Tehase rajamine antud kohas oluliselt piirkonna liikluskoormust ei mõjuta. Projektiga lahendatakse liiklus- ja parkimiskorraldus.</w:t>
      </w:r>
    </w:p>
    <w:p w14:paraId="72F6CF3C"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Projektiala paikneb enamasti kaitsmata ja osaliselt nõrgalt kaitstud põhjaveega alal. Seega on väga oluline pöörata tähelepanu ehitusaegse veereostuse ohu vältimisele;</w:t>
      </w:r>
    </w:p>
    <w:p w14:paraId="017915E1"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Tööstuskäitised vajavad olenevalt majandustegevuse laadist kas keskkonnakompleksluba või keskkonnaluba, mille koosseisu kuuluvad muuhulgas järgmised teemad: välisõhu saastamine, heitvee puhastamine jm.</w:t>
      </w:r>
    </w:p>
    <w:p w14:paraId="1D490D91" w14:textId="77777777" w:rsidR="007B622A" w:rsidRPr="009C21A7" w:rsidRDefault="007B622A" w:rsidP="007B622A">
      <w:pPr>
        <w:numPr>
          <w:ilvl w:val="0"/>
          <w:numId w:val="2"/>
        </w:numPr>
        <w:spacing w:after="160" w:line="259" w:lineRule="auto"/>
        <w:contextualSpacing/>
        <w:jc w:val="both"/>
        <w:rPr>
          <w:rFonts w:eastAsiaTheme="minorHAnsi"/>
          <w:lang w:val="et-EE"/>
        </w:rPr>
      </w:pPr>
      <w:r w:rsidRPr="009C21A7">
        <w:rPr>
          <w:rFonts w:eastAsiaTheme="minorHAnsi"/>
          <w:lang w:val="et-EE"/>
        </w:rPr>
        <w:t>Kuna kavandatav käitis vajab keskkonnakompleksluba, tuleb ka rakendada parimat võimalikku tehnikat (PVT), nagu on määratletud EL-i tööstusheite direktiivis, mis on üle võetud Eesti tööstusheite seadusega (vastu võetud 24.04.2013).</w:t>
      </w:r>
    </w:p>
    <w:p w14:paraId="169A2954" w14:textId="77777777" w:rsidR="007B622A" w:rsidRPr="009C21A7" w:rsidRDefault="007B622A" w:rsidP="007B622A">
      <w:pPr>
        <w:spacing w:before="120" w:after="120" w:line="259" w:lineRule="auto"/>
        <w:jc w:val="both"/>
        <w:rPr>
          <w:rFonts w:eastAsiaTheme="minorHAnsi"/>
          <w:lang w:val="et-EE"/>
        </w:rPr>
      </w:pPr>
      <w:r w:rsidRPr="009C21A7">
        <w:rPr>
          <w:rFonts w:eastAsiaTheme="minorHAnsi"/>
          <w:lang w:val="et-EE"/>
        </w:rPr>
        <w:t>Lähtuvalt praegu teadaolevatest sisendandmetest ja eelhinnangu tulemustest ei eelda kavandatav tegevus olulist keskkonnamõju ning Narva Kulgu tööstuspargi magnetite valmistamise tehase rajamise keskkonnamõju hindamise võib antud juhul jätta algatamata.</w:t>
      </w:r>
    </w:p>
    <w:p w14:paraId="33303C98" w14:textId="77777777" w:rsidR="007B622A" w:rsidRPr="009C21A7" w:rsidRDefault="007B622A" w:rsidP="007B622A">
      <w:pPr>
        <w:spacing w:before="120" w:after="120" w:line="259" w:lineRule="auto"/>
        <w:jc w:val="both"/>
        <w:rPr>
          <w:rFonts w:eastAsiaTheme="minorHAnsi"/>
          <w:lang w:val="et-EE"/>
        </w:rPr>
      </w:pPr>
      <w:proofErr w:type="spellStart"/>
      <w:r w:rsidRPr="009C21A7">
        <w:rPr>
          <w:rFonts w:eastAsiaTheme="minorHAnsi"/>
          <w:lang w:val="et-EE"/>
        </w:rPr>
        <w:t>KeHJS</w:t>
      </w:r>
      <w:proofErr w:type="spellEnd"/>
      <w:r w:rsidRPr="009C21A7">
        <w:rPr>
          <w:rFonts w:eastAsiaTheme="minorHAnsi"/>
          <w:lang w:val="et-EE"/>
        </w:rPr>
        <w:t xml:space="preserve"> § 11 lõike 2</w:t>
      </w:r>
      <w:r w:rsidRPr="009C21A7">
        <w:rPr>
          <w:rFonts w:eastAsiaTheme="minorHAnsi"/>
          <w:vertAlign w:val="superscript"/>
          <w:lang w:val="et-EE"/>
        </w:rPr>
        <w:t>2</w:t>
      </w:r>
      <w:r w:rsidRPr="009C21A7">
        <w:rPr>
          <w:rFonts w:eastAsiaTheme="minorHAnsi"/>
          <w:lang w:val="et-EE"/>
        </w:rPr>
        <w:t xml:space="preserve"> kohaselt enne käesoleva seaduse § 6 lõikes 2 nimetatud valdkondade tegevuse ja lõikes 2</w:t>
      </w:r>
      <w:r w:rsidRPr="009C21A7">
        <w:rPr>
          <w:rFonts w:eastAsiaTheme="minorHAnsi"/>
          <w:vertAlign w:val="superscript"/>
          <w:lang w:val="et-EE"/>
        </w:rPr>
        <w:t>1</w:t>
      </w:r>
      <w:r w:rsidRPr="009C21A7">
        <w:rPr>
          <w:rFonts w:eastAsiaTheme="minorHAnsi"/>
          <w:lang w:val="et-EE"/>
        </w:rPr>
        <w:t xml:space="preserve"> viidatud tegevuse keskkonnamõju hindamise vajalikkuse üle otsustamist peab otsustaja küsima seisukohta kõigilt asjaomastelt asutustelt, esitades neile seisukoha võtmiseks eelhinnangu ning keskkonnamõju hindamise algatamise või algatamata jätmise otsuse eelnõu ning lõike 2</w:t>
      </w:r>
      <w:r w:rsidRPr="009C21A7">
        <w:rPr>
          <w:rFonts w:eastAsiaTheme="minorHAnsi"/>
          <w:vertAlign w:val="superscript"/>
          <w:lang w:val="et-EE"/>
        </w:rPr>
        <w:t>3</w:t>
      </w:r>
      <w:r w:rsidRPr="009C21A7">
        <w:rPr>
          <w:rFonts w:eastAsiaTheme="minorHAnsi"/>
          <w:lang w:val="et-EE"/>
        </w:rPr>
        <w:t xml:space="preserve"> käesoleva seaduse § 6 lõikes 2 nimetatud valdkondade tegevuse ja lõikes 2</w:t>
      </w:r>
      <w:r w:rsidRPr="009C21A7">
        <w:rPr>
          <w:rFonts w:eastAsiaTheme="minorHAnsi"/>
          <w:vertAlign w:val="superscript"/>
          <w:lang w:val="et-EE"/>
        </w:rPr>
        <w:t>1</w:t>
      </w:r>
      <w:r w:rsidRPr="009C21A7">
        <w:rPr>
          <w:rFonts w:eastAsiaTheme="minorHAnsi"/>
          <w:lang w:val="et-EE"/>
        </w:rPr>
        <w:t xml:space="preserve"> viidatud tegevuse keskkonnamõju hindamise vajalikkus otsustatakse, lähtudes eelhinnangust ja asjaomase asutuse seisukohast. </w:t>
      </w:r>
    </w:p>
    <w:p w14:paraId="5C915079" w14:textId="77777777" w:rsidR="007B622A" w:rsidRPr="009C21A7" w:rsidRDefault="007B622A" w:rsidP="007B622A">
      <w:pPr>
        <w:spacing w:before="120" w:after="120" w:line="259" w:lineRule="auto"/>
        <w:jc w:val="both"/>
        <w:rPr>
          <w:rFonts w:eastAsiaTheme="minorHAnsi"/>
          <w:lang w:val="et-EE"/>
        </w:rPr>
      </w:pPr>
      <w:r w:rsidRPr="009C21A7">
        <w:rPr>
          <w:rFonts w:eastAsiaTheme="minorHAnsi"/>
          <w:lang w:val="et-EE"/>
        </w:rPr>
        <w:t xml:space="preserve">Narva Linnavalitsuse Arhitektuuri- ja Linnaplaneerimise Amet saatis Keskkonnaametile ja </w:t>
      </w:r>
      <w:proofErr w:type="spellStart"/>
      <w:r w:rsidRPr="009C21A7">
        <w:rPr>
          <w:rFonts w:eastAsiaTheme="minorHAnsi"/>
          <w:lang w:val="et-EE"/>
        </w:rPr>
        <w:t>SA-le</w:t>
      </w:r>
      <w:proofErr w:type="spellEnd"/>
      <w:r w:rsidRPr="009C21A7">
        <w:rPr>
          <w:rFonts w:eastAsiaTheme="minorHAnsi"/>
          <w:lang w:val="et-EE"/>
        </w:rPr>
        <w:t xml:space="preserve"> IVIA päringu Narva Kulgu tööstuspargi magnetite valmistamise tehase rajamise keskkonnamõju hindamise algatamise vajalikkuse kohta.</w:t>
      </w:r>
    </w:p>
    <w:p w14:paraId="4DC90B75" w14:textId="77777777" w:rsidR="007B622A" w:rsidRPr="009C21A7" w:rsidRDefault="007B622A" w:rsidP="007B622A">
      <w:pPr>
        <w:spacing w:after="120" w:line="259" w:lineRule="auto"/>
        <w:jc w:val="both"/>
        <w:rPr>
          <w:rFonts w:eastAsiaTheme="minorHAnsi"/>
          <w:lang w:val="et-EE"/>
        </w:rPr>
      </w:pPr>
      <w:r w:rsidRPr="009C21A7">
        <w:rPr>
          <w:rFonts w:eastAsiaTheme="minorHAnsi"/>
          <w:lang w:val="et-EE"/>
        </w:rPr>
        <w:t>27.04.2023 oma kirjas nr 6-3/23/7679-3 esitas Keskkonnaamet oma seisukoha, et kavandatava tegevusega ei kaasne eeldatavalt olulist keskkonnamõju (</w:t>
      </w:r>
      <w:proofErr w:type="spellStart"/>
      <w:r w:rsidRPr="009C21A7">
        <w:rPr>
          <w:rFonts w:eastAsiaTheme="minorHAnsi"/>
          <w:lang w:val="et-EE"/>
        </w:rPr>
        <w:t>KeHJS</w:t>
      </w:r>
      <w:proofErr w:type="spellEnd"/>
      <w:r w:rsidRPr="009C21A7">
        <w:rPr>
          <w:rFonts w:eastAsiaTheme="minorHAnsi"/>
          <w:lang w:val="et-EE"/>
        </w:rPr>
        <w:t xml:space="preserve"> § 2</w:t>
      </w:r>
      <w:r w:rsidRPr="009C21A7">
        <w:rPr>
          <w:rFonts w:eastAsiaTheme="minorHAnsi"/>
          <w:vertAlign w:val="superscript"/>
          <w:lang w:val="et-EE"/>
        </w:rPr>
        <w:t>2</w:t>
      </w:r>
      <w:r w:rsidRPr="009C21A7">
        <w:rPr>
          <w:rFonts w:eastAsiaTheme="minorHAnsi"/>
          <w:lang w:val="et-EE"/>
        </w:rPr>
        <w:t xml:space="preserve"> mõistes) ning KMH algatamine ei ole eeldatavalt vajalik. Samas juhtis Keskkonnaamet tähelepanu mõnedele punktidele ja palus vastavalt märkustele eelhinnangut täiendada. Eelhinnang on täiendatud vastavalt Keskkonnaameti märkustele.</w:t>
      </w:r>
    </w:p>
    <w:p w14:paraId="34C97367" w14:textId="77777777" w:rsidR="007B622A" w:rsidRPr="009C21A7" w:rsidRDefault="007B622A" w:rsidP="007B622A">
      <w:pPr>
        <w:jc w:val="both"/>
        <w:rPr>
          <w:lang w:val="et-EE"/>
        </w:rPr>
      </w:pPr>
      <w:r w:rsidRPr="009C21A7">
        <w:rPr>
          <w:lang w:val="et-EE"/>
        </w:rPr>
        <w:t>Ehitusprojektis on avastatud puuduseid ning ehitisregistri keskkonna kaudu ehitusprojekt  on tagastatud puuduste kõrvaldamiseks.</w:t>
      </w:r>
    </w:p>
    <w:p w14:paraId="2F5CFF79" w14:textId="77777777" w:rsidR="007B622A" w:rsidRPr="009C21A7" w:rsidRDefault="007B622A" w:rsidP="007B622A">
      <w:pPr>
        <w:jc w:val="both"/>
        <w:rPr>
          <w:lang w:val="et-EE"/>
        </w:rPr>
      </w:pPr>
    </w:p>
    <w:p w14:paraId="1DC1A29F" w14:textId="77777777" w:rsidR="007B622A" w:rsidRPr="009C21A7" w:rsidRDefault="007B622A" w:rsidP="007B622A">
      <w:pPr>
        <w:jc w:val="both"/>
        <w:rPr>
          <w:lang w:val="et-EE"/>
        </w:rPr>
      </w:pPr>
      <w:r w:rsidRPr="009C21A7">
        <w:rPr>
          <w:lang w:val="et-EE"/>
        </w:rPr>
        <w:lastRenderedPageBreak/>
        <w:t xml:space="preserve">03.05.2023 lõplikult kõrvaldatud puudustega ehitusloa taotlus nr 2311271/06288 v02 koos ehitusprojektiga on ehitisregistri  keskkonnas projekteerija poolt </w:t>
      </w:r>
      <w:proofErr w:type="spellStart"/>
      <w:r w:rsidRPr="009C21A7">
        <w:rPr>
          <w:lang w:val="et-EE"/>
        </w:rPr>
        <w:t>taasesitatud</w:t>
      </w:r>
      <w:proofErr w:type="spellEnd"/>
      <w:r w:rsidRPr="009C21A7">
        <w:rPr>
          <w:lang w:val="et-EE"/>
        </w:rPr>
        <w:t>.</w:t>
      </w:r>
    </w:p>
    <w:p w14:paraId="28886330" w14:textId="77777777" w:rsidR="007B622A" w:rsidRPr="009C21A7" w:rsidRDefault="007B622A" w:rsidP="007B622A">
      <w:pPr>
        <w:jc w:val="both"/>
        <w:rPr>
          <w:lang w:val="et-EE"/>
        </w:rPr>
      </w:pPr>
    </w:p>
    <w:p w14:paraId="1351EF79" w14:textId="77777777" w:rsidR="007B622A" w:rsidRPr="009C21A7" w:rsidRDefault="00F07E82" w:rsidP="007B622A">
      <w:pPr>
        <w:pStyle w:val="a6"/>
        <w:jc w:val="both"/>
        <w:rPr>
          <w:lang w:val="et-EE"/>
        </w:rPr>
      </w:pPr>
      <w:r w:rsidRPr="009C21A7">
        <w:rPr>
          <w:lang w:val="et-EE"/>
        </w:rPr>
        <w:t>09.05.2023</w:t>
      </w:r>
      <w:r w:rsidR="007B622A" w:rsidRPr="009C21A7">
        <w:rPr>
          <w:lang w:val="et-EE"/>
        </w:rPr>
        <w:t xml:space="preserve"> kõik kaasatud menetlusosalejad  väljendasid oma arvamuse ja/või kooskõlastasid ehitusloa eelnõu: </w:t>
      </w:r>
    </w:p>
    <w:p w14:paraId="495CAFED" w14:textId="77777777" w:rsidR="007B622A" w:rsidRPr="009C21A7" w:rsidRDefault="007B622A" w:rsidP="007B622A">
      <w:pPr>
        <w:pStyle w:val="a6"/>
        <w:jc w:val="both"/>
        <w:rPr>
          <w:lang w:val="et-EE"/>
        </w:rPr>
      </w:pPr>
    </w:p>
    <w:p w14:paraId="03D5EF11" w14:textId="7539C122" w:rsidR="007B622A" w:rsidRPr="009C21A7" w:rsidRDefault="007B622A" w:rsidP="007B622A">
      <w:pPr>
        <w:pStyle w:val="a6"/>
        <w:jc w:val="both"/>
        <w:rPr>
          <w:lang w:val="et-EE" w:eastAsia="et-EE"/>
        </w:rPr>
      </w:pPr>
      <w:r w:rsidRPr="009C21A7">
        <w:rPr>
          <w:lang w:val="et-EE"/>
        </w:rPr>
        <w:t xml:space="preserve">Linnamajandusamet teatas, et </w:t>
      </w:r>
      <w:r w:rsidRPr="009C21A7">
        <w:rPr>
          <w:lang w:val="et-EE" w:eastAsia="et-EE"/>
        </w:rPr>
        <w:t xml:space="preserve">vastavalt kehtivale Narva linna kaevetööde eeskirjale enne kaevetööde alustamist peab </w:t>
      </w:r>
      <w:r w:rsidR="00321AC8" w:rsidRPr="009C21A7">
        <w:rPr>
          <w:rFonts w:eastAsiaTheme="minorHAnsi"/>
          <w:lang w:val="et-EE"/>
        </w:rPr>
        <w:t xml:space="preserve">Narva Linnavalitsuse </w:t>
      </w:r>
      <w:r w:rsidRPr="009C21A7">
        <w:rPr>
          <w:lang w:val="et-EE" w:eastAsia="et-EE"/>
        </w:rPr>
        <w:t>Linnamajandusamet</w:t>
      </w:r>
      <w:r w:rsidR="00321AC8" w:rsidRPr="009C21A7">
        <w:rPr>
          <w:lang w:val="et-EE" w:eastAsia="et-EE"/>
        </w:rPr>
        <w:t>ilt</w:t>
      </w:r>
      <w:r w:rsidRPr="009C21A7">
        <w:rPr>
          <w:lang w:val="et-EE" w:eastAsia="et-EE"/>
        </w:rPr>
        <w:t xml:space="preserve"> taotlema kaevetööde loa. Ehitusprojektis kavandatud liikluskorralduse kohta on teatatud, et ülekäigurajad on kohustatud olema liiklusmärkidega tähistatud. Narva linna omandis oleva kinnistu kasutamiseks vormistatakse kasutusõigus. Ehitusprojektis kavandatud valgustid peavad vastama Narva Linnavalitsuse 01.04.2020 korralduse nr 227-k nõuetele.</w:t>
      </w:r>
    </w:p>
    <w:p w14:paraId="41411C18" w14:textId="77777777" w:rsidR="007B622A" w:rsidRPr="009C21A7" w:rsidRDefault="007B622A" w:rsidP="007B622A">
      <w:pPr>
        <w:pStyle w:val="a3"/>
        <w:shd w:val="clear" w:color="auto" w:fill="FFFFFF"/>
        <w:jc w:val="both"/>
        <w:rPr>
          <w:color w:val="auto"/>
          <w:lang w:val="et-EE" w:eastAsia="et-EE"/>
        </w:rPr>
      </w:pPr>
      <w:r w:rsidRPr="009C21A7">
        <w:rPr>
          <w:color w:val="auto"/>
          <w:lang w:val="et-EE" w:eastAsia="et-EE"/>
        </w:rPr>
        <w:t>Aktsiaselts Telia Eesti väljendas arvamust tingimusega, et enne tootmishoone sidelahenduse ühendamist Telia Eesti AS sidekanalisatsiooniga peab taotlema tehnilisi tingimusi, koostama ehitusprojekti, ehitustööde teostamiseks taotlema kehtivas seadusandluses ettenähtud load, mh tegutsemisloa.</w:t>
      </w:r>
    </w:p>
    <w:p w14:paraId="79DF920B" w14:textId="77777777" w:rsidR="007B622A" w:rsidRPr="009C21A7" w:rsidRDefault="007B622A" w:rsidP="007B622A">
      <w:pPr>
        <w:pStyle w:val="a3"/>
        <w:shd w:val="clear" w:color="auto" w:fill="FFFFFF"/>
        <w:jc w:val="both"/>
        <w:rPr>
          <w:color w:val="auto"/>
          <w:lang w:val="et-EE" w:eastAsia="et-EE"/>
        </w:rPr>
      </w:pPr>
      <w:r w:rsidRPr="009C21A7">
        <w:rPr>
          <w:color w:val="auto"/>
          <w:lang w:val="et-EE" w:eastAsia="et-EE"/>
        </w:rPr>
        <w:t>Osaühing VKG Elektrivõrgud arvamuse avaldamisel palus: „Edaspidised projekti etapid ja staadiumid kooskõlastada VKG Elektrivõrgud OÜ-ga“.</w:t>
      </w:r>
    </w:p>
    <w:p w14:paraId="10F29B39" w14:textId="77777777" w:rsidR="00894429" w:rsidRPr="009C21A7" w:rsidRDefault="00894429" w:rsidP="00894429">
      <w:pPr>
        <w:pStyle w:val="a3"/>
        <w:shd w:val="clear" w:color="auto" w:fill="FFFFFF"/>
        <w:jc w:val="both"/>
        <w:rPr>
          <w:color w:val="auto"/>
          <w:lang w:val="et-EE" w:eastAsia="et-EE"/>
        </w:rPr>
      </w:pPr>
      <w:r w:rsidRPr="009C21A7">
        <w:rPr>
          <w:color w:val="auto"/>
          <w:lang w:val="et-EE" w:eastAsia="et-EE"/>
        </w:rPr>
        <w:t xml:space="preserve">Aktsiaselts Gaasivõrk arvamuse avaldamisel teatas, et „palun edastada projekt nõusoleku saamiseks geoprojekt@gaas.ee ja saadud nõusolek laadida EHR dokumentatsiooni hulka.“ Ehitusprojekti koostaja teatas, et „antud projektiga gaasivõrke ei projekteerita“. Aktsiaselts Gaasivõrk on ehitusloa taotluse menetlusse kaasatud arvamuse avaldamiseks kui gaasipaigaldise kaitsevööndi valdaja. Ehitusseadustiku § 40 lg 1 kohaselt ehitusloa taotlus ja sellega seonduvad dokumendid esitatakse pädevale asutusele elektrooniliselt ehitisregistri kaudu.. Ehitusseadustiku § 42 lg 7 kohaselt pädev asutus esitab ehitusloa eelnõu vajaduse korral arvamuse avaldamiseks asutusele või isikule, kelle õigusi või huve võib ehitis või ehitamine puudutada. Sama paragrahvi lg 8 kohaselt, kui ehitusloa eelnõu kohta on kooskõlastamise või arvamuste avaldamise käigus esitatud märkusi, võtab pädev asutus need asjakohaselt arvesse või põhjendab nende arvestamata jätmist. </w:t>
      </w:r>
      <w:proofErr w:type="spellStart"/>
      <w:r w:rsidRPr="009C21A7">
        <w:rPr>
          <w:color w:val="auto"/>
          <w:lang w:val="et-EE" w:eastAsia="et-EE"/>
        </w:rPr>
        <w:t>Menetleja</w:t>
      </w:r>
      <w:proofErr w:type="spellEnd"/>
      <w:r w:rsidRPr="009C21A7">
        <w:rPr>
          <w:color w:val="auto"/>
          <w:lang w:val="et-EE" w:eastAsia="et-EE"/>
        </w:rPr>
        <w:t xml:space="preserve"> aktsiaseltsi Gaasivõrk märkuse jätab arvestamata järgmisel põhjusel: ehitusprojekti kohaselt NPM magnetmaterjalide tehase ehitised gaasiga ei ole varustatud. Ehitusseadustiku § 12 lg 3 kohaselt ehitamisel tuleb arvestada ehitamisest mõjutatud isikute õigusi ning rakendada abinõusid nende õiguste ülemäärase kahjustamise vastu. Ehitusseadustiku § 40 lg 1 kohaselt ehitusloa menetlus toimub ehitisregistris, kuid mitte aktsiaselts Gaasivõrk e-posti aadressil. Aktsiaseltsile Gaasivõrk ehitusloa eelnõu on suunatud, kuna maa-ameti kitsenduse kaardirakenduse kohaselt Tehase tn 31//33// 39// 41// 43 kinnistu piiri kõrvale on paigaldatud A- ja B-kategooria gaasitorustik, mille kaitsevöönd võib ulatada ehitusplatsini. Ehitise kaitsevööndi ulatus, kaitsevööndis tegutsemise kord ja kaitsevööndi tähistusele esitatavad nõuded  on loetletud ehitusseadustiku § 70 ja  § 76, seadme ohutuse seaduse § 2 ja § 3. Enne ehitustööde alustamist gaasipaigaldise kaitsevööndis pöörduda gaasipaigaldise valdaja poole ehitustööde teostamiseks nõusoleku ja/või muude ehitustööde teostamiseks piirangute saamiseks.</w:t>
      </w:r>
    </w:p>
    <w:p w14:paraId="46398A7C" w14:textId="77777777" w:rsidR="007B622A" w:rsidRPr="009C21A7" w:rsidRDefault="001E242D" w:rsidP="001E242D">
      <w:pPr>
        <w:spacing w:before="100" w:beforeAutospacing="1" w:after="100" w:afterAutospacing="1"/>
        <w:rPr>
          <w:lang w:val="et-EE" w:eastAsia="et-EE"/>
        </w:rPr>
      </w:pPr>
      <w:r w:rsidRPr="009C21A7">
        <w:rPr>
          <w:rFonts w:ascii="Montserrat Light" w:hAnsi="Montserrat Light"/>
          <w:color w:val="1F497D"/>
          <w:sz w:val="22"/>
          <w:szCs w:val="22"/>
          <w:lang w:val="et-EE"/>
        </w:rPr>
        <w:t> </w:t>
      </w:r>
      <w:r w:rsidR="007B622A" w:rsidRPr="009C21A7">
        <w:rPr>
          <w:lang w:val="et-EE" w:eastAsia="et-EE"/>
        </w:rPr>
        <w:t>Kaitseministeerium teatas, et: „Palume viia sisse projekti muudatused, mis on esitatud NPM Silmet Kaitseministeeriumi 04.04.2023 vastuskirjas 12-3/23/635. Vastavalt vastuskirjas esitatud selgitusele ja nõudele on maksimaalne lubatud päikeseelektrijaama päikesepaneelide võimsus 5x50 kW, ehk 50 kW (DC) igale kinnistule“.</w:t>
      </w:r>
    </w:p>
    <w:p w14:paraId="28829A67" w14:textId="77777777" w:rsidR="007B622A" w:rsidRPr="009C21A7" w:rsidRDefault="007B622A" w:rsidP="007B622A">
      <w:pPr>
        <w:pStyle w:val="a3"/>
        <w:shd w:val="clear" w:color="auto" w:fill="FFFFFF"/>
        <w:jc w:val="both"/>
        <w:rPr>
          <w:color w:val="auto"/>
          <w:lang w:val="et-EE" w:eastAsia="et-EE"/>
        </w:rPr>
      </w:pPr>
      <w:r w:rsidRPr="009C21A7">
        <w:rPr>
          <w:color w:val="auto"/>
          <w:lang w:val="et-EE" w:eastAsia="et-EE"/>
        </w:rPr>
        <w:t>Narva Linnavalitsuse Arhitektuuri- ja Linnaplaneerimise Amet avastas ehitusprojektis mõningad vormistuslikud ebatäpsused, millised peab kindlasti kõrvaldama, kuid nende olemasolu ei takista ehitusloa andmist. Lisaks on pööratud tähelepanu järgmisele:</w:t>
      </w:r>
    </w:p>
    <w:p w14:paraId="356A35B7" w14:textId="77777777" w:rsidR="007B622A" w:rsidRPr="009C21A7" w:rsidRDefault="007B622A" w:rsidP="007B622A">
      <w:pPr>
        <w:pStyle w:val="a3"/>
        <w:numPr>
          <w:ilvl w:val="0"/>
          <w:numId w:val="8"/>
        </w:numPr>
        <w:shd w:val="clear" w:color="auto" w:fill="FFFFFF"/>
        <w:jc w:val="both"/>
        <w:rPr>
          <w:color w:val="auto"/>
          <w:lang w:val="et-EE" w:eastAsia="et-EE"/>
        </w:rPr>
      </w:pPr>
      <w:r w:rsidRPr="009C21A7">
        <w:rPr>
          <w:color w:val="auto"/>
          <w:lang w:val="et-EE" w:eastAsia="et-EE"/>
        </w:rPr>
        <w:t>vastavalt majandus-ja taristuministri 08.06.2015 määrusele nr 62 „Nõuded ehitusprojekti ekspertiisile“ PP või TP ehitusprojekti staadiumi koostamisel esitada tootmishoone projekti ekspertiis;</w:t>
      </w:r>
    </w:p>
    <w:p w14:paraId="469B6E38" w14:textId="77777777" w:rsidR="007B622A" w:rsidRPr="009C21A7" w:rsidRDefault="007B622A" w:rsidP="007B622A">
      <w:pPr>
        <w:pStyle w:val="a3"/>
        <w:numPr>
          <w:ilvl w:val="0"/>
          <w:numId w:val="8"/>
        </w:numPr>
        <w:shd w:val="clear" w:color="auto" w:fill="FFFFFF"/>
        <w:jc w:val="both"/>
        <w:rPr>
          <w:color w:val="auto"/>
          <w:lang w:val="et-EE" w:eastAsia="et-EE"/>
        </w:rPr>
      </w:pPr>
      <w:r w:rsidRPr="009C21A7">
        <w:rPr>
          <w:color w:val="auto"/>
          <w:lang w:val="et-EE" w:eastAsia="et-EE"/>
        </w:rPr>
        <w:lastRenderedPageBreak/>
        <w:t>PP või TP ehitusprojekti staadiumi koostamisel esitada konkreetne lahendus radoonikaitse meetmete kohta;</w:t>
      </w:r>
    </w:p>
    <w:p w14:paraId="53E031C9" w14:textId="77777777" w:rsidR="007B622A" w:rsidRPr="009C21A7" w:rsidRDefault="007B622A" w:rsidP="007B622A">
      <w:pPr>
        <w:pStyle w:val="a3"/>
        <w:numPr>
          <w:ilvl w:val="0"/>
          <w:numId w:val="8"/>
        </w:numPr>
        <w:shd w:val="clear" w:color="auto" w:fill="FFFFFF"/>
        <w:jc w:val="both"/>
        <w:rPr>
          <w:color w:val="auto"/>
          <w:lang w:val="et-EE" w:eastAsia="et-EE"/>
        </w:rPr>
      </w:pPr>
      <w:r w:rsidRPr="009C21A7">
        <w:rPr>
          <w:color w:val="auto"/>
          <w:lang w:val="et-EE" w:eastAsia="et-EE"/>
        </w:rPr>
        <w:t>hoone kasutusloa taotlemise momendil perspektiivne küttevälistrass peab olema projekteeritud ja ehitatud.</w:t>
      </w:r>
    </w:p>
    <w:p w14:paraId="5AE2C4E2" w14:textId="77777777" w:rsidR="007B622A" w:rsidRPr="009C21A7" w:rsidRDefault="007B622A" w:rsidP="007B622A">
      <w:pPr>
        <w:pStyle w:val="a3"/>
        <w:shd w:val="clear" w:color="auto" w:fill="FFFFFF"/>
        <w:jc w:val="both"/>
        <w:rPr>
          <w:color w:val="auto"/>
          <w:lang w:val="et-EE" w:eastAsia="et-EE"/>
        </w:rPr>
      </w:pPr>
      <w:r w:rsidRPr="009C21A7">
        <w:rPr>
          <w:color w:val="auto"/>
          <w:lang w:val="et-EE" w:eastAsia="et-EE"/>
        </w:rPr>
        <w:t>Ehitusseadustiku § 42 lg 7 kohaselt  ehitusloa taotluse nr 2311271/06288  menetluse</w:t>
      </w:r>
      <w:r w:rsidRPr="009C21A7">
        <w:rPr>
          <w:lang w:val="et-EE"/>
        </w:rPr>
        <w:t xml:space="preserve"> </w:t>
      </w:r>
      <w:r w:rsidRPr="009C21A7">
        <w:rPr>
          <w:color w:val="auto"/>
          <w:lang w:val="et-EE" w:eastAsia="et-EE"/>
        </w:rPr>
        <w:t xml:space="preserve">nr 359405 raames menetlusse kaasatud isikute poolt tehtud märkused ei takista ehitusloa andmis. </w:t>
      </w:r>
      <w:r w:rsidRPr="009C21A7">
        <w:rPr>
          <w:bCs/>
          <w:lang w:val="et-EE"/>
        </w:rPr>
        <w:t>Ehitusprojekt eelprojekti staadiumis vastab sätestatud nõuetele ning ehitisele ja ehitamisele esitatud nõuetele.</w:t>
      </w:r>
    </w:p>
    <w:p w14:paraId="48A7FC46" w14:textId="77777777" w:rsidR="007B622A" w:rsidRPr="009C21A7" w:rsidRDefault="007B622A" w:rsidP="007B622A">
      <w:pPr>
        <w:jc w:val="both"/>
        <w:rPr>
          <w:bCs/>
          <w:lang w:val="et-EE"/>
        </w:rPr>
      </w:pPr>
      <w:r w:rsidRPr="009C21A7">
        <w:rPr>
          <w:bCs/>
          <w:lang w:val="et-EE"/>
        </w:rPr>
        <w:t>Ehitusseadustiku § 44 toodud ehitusloa andmisest keeldumise põhjused puuduvad. Seega, ehitusloa andmiseks takistusi ei ole.</w:t>
      </w:r>
    </w:p>
    <w:p w14:paraId="6F85F207" w14:textId="77777777" w:rsidR="007B622A" w:rsidRPr="009C21A7" w:rsidRDefault="007B622A" w:rsidP="007B622A">
      <w:pPr>
        <w:jc w:val="both"/>
        <w:rPr>
          <w:b/>
          <w:lang w:val="et-EE"/>
        </w:rPr>
      </w:pPr>
    </w:p>
    <w:p w14:paraId="00A2E644" w14:textId="77777777" w:rsidR="007B622A" w:rsidRPr="009C21A7" w:rsidRDefault="007B622A" w:rsidP="007B622A">
      <w:pPr>
        <w:jc w:val="both"/>
        <w:rPr>
          <w:b/>
          <w:lang w:val="et-EE"/>
        </w:rPr>
      </w:pPr>
      <w:r w:rsidRPr="009C21A7">
        <w:rPr>
          <w:b/>
          <w:lang w:val="et-EE"/>
        </w:rPr>
        <w:t>2.    ÕIGUSLIKUD ALUSED</w:t>
      </w:r>
    </w:p>
    <w:p w14:paraId="04686B97" w14:textId="77777777" w:rsidR="007B622A" w:rsidRPr="009C21A7" w:rsidRDefault="007B622A" w:rsidP="007B622A">
      <w:pPr>
        <w:ind w:left="426" w:hanging="426"/>
        <w:jc w:val="both"/>
        <w:rPr>
          <w:lang w:val="et-EE"/>
        </w:rPr>
      </w:pPr>
      <w:r w:rsidRPr="009C21A7">
        <w:rPr>
          <w:lang w:val="et-EE"/>
        </w:rPr>
        <w:t>2.1. Ehitusseadustiku § 39 lõike 1 kohaselt  ehitusloa  annab  kohaliku  omavalitsuse  üksus,  kui seaduses   ei ole sätestatud teisiti.</w:t>
      </w:r>
    </w:p>
    <w:p w14:paraId="34F42BC4" w14:textId="77777777" w:rsidR="007B622A" w:rsidRPr="009C21A7" w:rsidRDefault="007B622A" w:rsidP="007B622A">
      <w:pPr>
        <w:ind w:left="426" w:hanging="426"/>
        <w:jc w:val="both"/>
        <w:rPr>
          <w:lang w:val="et-EE"/>
        </w:rPr>
      </w:pPr>
      <w:r w:rsidRPr="009C21A7">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163FCE1D" w14:textId="77777777" w:rsidR="007B622A" w:rsidRPr="009C21A7" w:rsidRDefault="007B622A" w:rsidP="007B622A">
      <w:pPr>
        <w:ind w:left="426" w:hanging="426"/>
        <w:jc w:val="both"/>
        <w:rPr>
          <w:lang w:val="et-EE"/>
        </w:rPr>
      </w:pPr>
      <w:r w:rsidRPr="009C21A7">
        <w:rPr>
          <w:lang w:val="et-EE"/>
        </w:rPr>
        <w:t xml:space="preserve">2.3. Keskkonnamõju hindamise ja keskkonnajuhtimissüsteemi seaduse (edaspidi </w:t>
      </w:r>
      <w:proofErr w:type="spellStart"/>
      <w:r w:rsidRPr="009C21A7">
        <w:rPr>
          <w:lang w:val="et-EE"/>
        </w:rPr>
        <w:t>KeHJS</w:t>
      </w:r>
      <w:proofErr w:type="spellEnd"/>
      <w:r w:rsidRPr="009C21A7">
        <w:rPr>
          <w:lang w:val="et-EE"/>
        </w:rPr>
        <w:t>) § 7 lõike 1 kohaselt tegevusluba käesoleva seaduse tähenduses on ehitusluba või ehitise kasutusluba.</w:t>
      </w:r>
    </w:p>
    <w:p w14:paraId="28D2E2CD" w14:textId="77777777" w:rsidR="007B622A" w:rsidRPr="009C21A7" w:rsidRDefault="007B622A" w:rsidP="007B622A">
      <w:pPr>
        <w:rPr>
          <w:lang w:val="et-EE"/>
        </w:rPr>
      </w:pPr>
      <w:r w:rsidRPr="009C21A7">
        <w:rPr>
          <w:lang w:val="et-EE"/>
        </w:rPr>
        <w:t xml:space="preserve">2.4. </w:t>
      </w:r>
      <w:proofErr w:type="spellStart"/>
      <w:r w:rsidRPr="009C21A7">
        <w:rPr>
          <w:lang w:val="et-EE"/>
        </w:rPr>
        <w:t>KeHJS</w:t>
      </w:r>
      <w:proofErr w:type="spellEnd"/>
      <w:r w:rsidRPr="009C21A7">
        <w:rPr>
          <w:lang w:val="et-EE"/>
        </w:rPr>
        <w:t xml:space="preserve"> § 9 kohaselt otsustaja on tegevusloa andja.</w:t>
      </w:r>
    </w:p>
    <w:p w14:paraId="3D538D67" w14:textId="77777777" w:rsidR="007B622A" w:rsidRPr="009C21A7" w:rsidRDefault="007B622A" w:rsidP="007B622A">
      <w:pPr>
        <w:jc w:val="both"/>
        <w:rPr>
          <w:lang w:val="et-EE"/>
        </w:rPr>
      </w:pPr>
      <w:r w:rsidRPr="009C21A7">
        <w:rPr>
          <w:lang w:val="et-EE"/>
        </w:rPr>
        <w:t xml:space="preserve">2.5.KeHJS § 11 lõike 2 kohaselt otsustaja vaatab tegevusloa taotluse läbi ning teeb otsuse kavandatava </w:t>
      </w:r>
    </w:p>
    <w:p w14:paraId="49649015" w14:textId="77777777" w:rsidR="007B622A" w:rsidRPr="009C21A7" w:rsidRDefault="007B622A" w:rsidP="007B622A">
      <w:pPr>
        <w:jc w:val="both"/>
        <w:rPr>
          <w:lang w:val="et-EE"/>
        </w:rPr>
      </w:pPr>
      <w:r w:rsidRPr="009C21A7">
        <w:rPr>
          <w:lang w:val="et-EE"/>
        </w:rPr>
        <w:t xml:space="preserve">      tegevuse keskkonnamõju hindamise algatamise või algatamata jätmise kohta käesoleva seaduse § 6 </w:t>
      </w:r>
    </w:p>
    <w:p w14:paraId="31F847C0" w14:textId="77777777" w:rsidR="007B622A" w:rsidRPr="009C21A7" w:rsidRDefault="007B622A" w:rsidP="007B622A">
      <w:pPr>
        <w:jc w:val="both"/>
        <w:rPr>
          <w:lang w:val="et-EE"/>
        </w:rPr>
      </w:pPr>
      <w:r w:rsidRPr="009C21A7">
        <w:rPr>
          <w:lang w:val="et-EE"/>
        </w:rPr>
        <w:t xml:space="preserve">      lõikes 1 nimetatud tegevuse korral õigusaktis sätestatud tegevusloa taotluse menetlemise aja jooksul  </w:t>
      </w:r>
    </w:p>
    <w:p w14:paraId="1CE56D97" w14:textId="77777777" w:rsidR="007B622A" w:rsidRPr="009C21A7" w:rsidRDefault="007B622A" w:rsidP="007B622A">
      <w:pPr>
        <w:jc w:val="both"/>
        <w:rPr>
          <w:lang w:val="et-EE"/>
        </w:rPr>
      </w:pPr>
      <w:r w:rsidRPr="009C21A7">
        <w:rPr>
          <w:lang w:val="et-EE"/>
        </w:rPr>
        <w:t xml:space="preserve">      ning § 6 lõikes 2 nimetatud valdkondade tegevuse ja lõikes 2</w:t>
      </w:r>
      <w:r w:rsidRPr="009C21A7">
        <w:rPr>
          <w:vertAlign w:val="superscript"/>
          <w:lang w:val="et-EE"/>
        </w:rPr>
        <w:t>1</w:t>
      </w:r>
      <w:r w:rsidRPr="009C21A7">
        <w:rPr>
          <w:lang w:val="et-EE"/>
        </w:rPr>
        <w:t xml:space="preserve"> viidatud tegevuse korral õigusaktis </w:t>
      </w:r>
    </w:p>
    <w:p w14:paraId="28A9EF5B" w14:textId="77777777" w:rsidR="007B622A" w:rsidRPr="009C21A7" w:rsidRDefault="007B622A" w:rsidP="007B622A">
      <w:pPr>
        <w:ind w:left="426" w:hanging="426"/>
        <w:jc w:val="both"/>
        <w:rPr>
          <w:lang w:val="et-EE"/>
        </w:rPr>
      </w:pPr>
      <w:r w:rsidRPr="009C21A7">
        <w:rPr>
          <w:lang w:val="et-EE"/>
        </w:rPr>
        <w:t xml:space="preserve">      sätestatud tegevusloa taotluse menetlemise aja jooksul, kuid hiljemalt 90. päeval pärast § 6</w:t>
      </w:r>
      <w:r w:rsidRPr="009C21A7">
        <w:rPr>
          <w:vertAlign w:val="superscript"/>
          <w:lang w:val="et-EE"/>
        </w:rPr>
        <w:t>1</w:t>
      </w:r>
      <w:r w:rsidRPr="009C21A7">
        <w:rPr>
          <w:lang w:val="et-EE"/>
        </w:rPr>
        <w:t xml:space="preserve"> lõikes loetletud teabe saamist.</w:t>
      </w:r>
    </w:p>
    <w:p w14:paraId="1A504410" w14:textId="77777777" w:rsidR="007B622A" w:rsidRPr="009C21A7" w:rsidRDefault="007B622A" w:rsidP="007B622A">
      <w:pPr>
        <w:pStyle w:val="a5"/>
        <w:numPr>
          <w:ilvl w:val="1"/>
          <w:numId w:val="6"/>
        </w:numPr>
        <w:jc w:val="both"/>
        <w:rPr>
          <w:rFonts w:ascii="Times New Roman" w:hAnsi="Times New Roman" w:cs="Times New Roman"/>
          <w:sz w:val="24"/>
          <w:szCs w:val="24"/>
          <w:lang w:val="et-EE"/>
        </w:rPr>
      </w:pPr>
      <w:r w:rsidRPr="009C21A7">
        <w:rPr>
          <w:rFonts w:ascii="Times New Roman" w:hAnsi="Times New Roman" w:cs="Times New Roman"/>
          <w:sz w:val="24"/>
          <w:szCs w:val="24"/>
          <w:lang w:val="et-EE"/>
        </w:rPr>
        <w:t>.Ehitusseadustiku § 42 lg 2 kohaselt pädev asutus otsustab keskkonnamõju hindamise algatamise vajaduse.</w:t>
      </w:r>
    </w:p>
    <w:p w14:paraId="144FD0AA" w14:textId="77777777" w:rsidR="007B622A" w:rsidRPr="009C21A7" w:rsidRDefault="007B622A" w:rsidP="007B622A">
      <w:pPr>
        <w:pStyle w:val="a5"/>
        <w:numPr>
          <w:ilvl w:val="1"/>
          <w:numId w:val="6"/>
        </w:numPr>
        <w:jc w:val="both"/>
        <w:rPr>
          <w:lang w:val="et-EE"/>
        </w:rPr>
      </w:pPr>
      <w:r w:rsidRPr="009C21A7">
        <w:rPr>
          <w:rFonts w:ascii="Times New Roman" w:hAnsi="Times New Roman" w:cs="Times New Roman"/>
          <w:sz w:val="24"/>
          <w:szCs w:val="24"/>
          <w:lang w:val="et-EE"/>
        </w:rPr>
        <w:t>.Vastavalt Narva Linnavalitsuse Arhitektuuri- ja Linnaplaneerimise Ameti põhimääruse § 7 arhitektuuri- ja planeerimise osakonna põhiülesandeks on ehitusprojektide läbivaatamisel osalemine ja otsuse tegemine keskkonnamõju hindamise algatamise või algatamata jätmise kohta.</w:t>
      </w:r>
    </w:p>
    <w:p w14:paraId="5504BBBC" w14:textId="77777777" w:rsidR="007B622A" w:rsidRPr="009C21A7" w:rsidRDefault="007B622A" w:rsidP="007B622A">
      <w:pPr>
        <w:jc w:val="both"/>
        <w:rPr>
          <w:b/>
          <w:lang w:val="et-EE"/>
        </w:rPr>
      </w:pPr>
    </w:p>
    <w:p w14:paraId="31A2FB0E" w14:textId="77777777" w:rsidR="007B622A" w:rsidRPr="009C21A7" w:rsidRDefault="007B622A" w:rsidP="007B622A">
      <w:pPr>
        <w:jc w:val="both"/>
        <w:rPr>
          <w:b/>
          <w:lang w:val="et-EE"/>
        </w:rPr>
      </w:pPr>
      <w:r w:rsidRPr="009C21A7">
        <w:rPr>
          <w:b/>
          <w:lang w:val="et-EE"/>
        </w:rPr>
        <w:t>3.    OTSUS</w:t>
      </w:r>
    </w:p>
    <w:p w14:paraId="5486272B" w14:textId="77777777" w:rsidR="007B622A" w:rsidRPr="009C21A7" w:rsidRDefault="007B622A" w:rsidP="007B622A">
      <w:pPr>
        <w:ind w:left="426" w:hanging="426"/>
        <w:jc w:val="both"/>
        <w:rPr>
          <w:lang w:val="et-EE"/>
        </w:rPr>
      </w:pPr>
      <w:r w:rsidRPr="009C21A7">
        <w:rPr>
          <w:lang w:val="et-EE"/>
        </w:rPr>
        <w:t xml:space="preserve">3.1. Anda ehitusluba Tehase tn 33, katastritunnus 51101:001:0785, Tehase tn 39, katastritunnus 51101:001:0786, Tehase tn  41, katastritunnus </w:t>
      </w:r>
      <w:r w:rsidRPr="009C21A7">
        <w:rPr>
          <w:lang w:val="et-EE"/>
        </w:rPr>
        <w:tab/>
        <w:t xml:space="preserve">51101:001:0790, Tehase tn 43, katastritunnus 51101:001:0791, kinnistule NPM magnetmaterjalide tehase tootmishoone, ehitisregistri kood 121401608 ning tootmishoonet teenindavate ehitiste püstitamiseks vastavalt „NPM magnetmaterjalide tehas – 1. faas“, töö nr NPMP1, peaprojekteerija </w:t>
      </w:r>
      <w:proofErr w:type="spellStart"/>
      <w:r w:rsidRPr="009C21A7">
        <w:rPr>
          <w:lang w:val="et-EE"/>
        </w:rPr>
        <w:t>Norte</w:t>
      </w:r>
      <w:proofErr w:type="spellEnd"/>
      <w:r w:rsidRPr="009C21A7">
        <w:rPr>
          <w:lang w:val="et-EE"/>
        </w:rPr>
        <w:t>.</w:t>
      </w:r>
    </w:p>
    <w:p w14:paraId="399989B8" w14:textId="77777777" w:rsidR="007B622A" w:rsidRPr="009C21A7" w:rsidRDefault="007B622A" w:rsidP="007B622A">
      <w:pPr>
        <w:ind w:left="426" w:hanging="426"/>
        <w:jc w:val="both"/>
        <w:rPr>
          <w:lang w:val="et-EE"/>
        </w:rPr>
      </w:pPr>
      <w:r w:rsidRPr="009C21A7">
        <w:rPr>
          <w:lang w:val="et-EE"/>
        </w:rPr>
        <w:t>3.2. Jätta Narva Kulgu tööstuspargi NPM magnetmaterjalide tehase ehitusloa menetluses              keskkonnamõju hindamine algatamata.</w:t>
      </w:r>
    </w:p>
    <w:p w14:paraId="52451D4D" w14:textId="77777777" w:rsidR="007B622A" w:rsidRPr="009C21A7" w:rsidRDefault="007B622A" w:rsidP="007B622A">
      <w:pPr>
        <w:jc w:val="both"/>
        <w:rPr>
          <w:lang w:val="et-EE"/>
        </w:rPr>
      </w:pPr>
      <w:r w:rsidRPr="009C21A7">
        <w:rPr>
          <w:lang w:val="et-EE"/>
        </w:rPr>
        <w:t>3.3.    Kohustada ehitustööde tellijat:</w:t>
      </w:r>
    </w:p>
    <w:p w14:paraId="4081FB6C" w14:textId="77777777" w:rsidR="007B622A" w:rsidRPr="009C21A7" w:rsidRDefault="007B622A" w:rsidP="007B622A">
      <w:pPr>
        <w:ind w:left="567" w:hanging="567"/>
        <w:jc w:val="both"/>
        <w:rPr>
          <w:lang w:val="et-EE"/>
        </w:rPr>
      </w:pPr>
      <w:r w:rsidRPr="009C21A7">
        <w:rPr>
          <w:lang w:val="et-EE"/>
        </w:rPr>
        <w:t>3.3.1. enne ehitustööde alustamist tagada märkuse täitmine, mis on käesoleva korralduse punktis 1    esitatud;</w:t>
      </w:r>
    </w:p>
    <w:p w14:paraId="55974004" w14:textId="77777777" w:rsidR="007B622A" w:rsidRPr="009C21A7" w:rsidRDefault="007B622A" w:rsidP="007B622A">
      <w:pPr>
        <w:ind w:left="567" w:hanging="567"/>
        <w:jc w:val="both"/>
        <w:rPr>
          <w:lang w:val="et-EE"/>
        </w:rPr>
      </w:pPr>
      <w:r w:rsidRPr="009C21A7">
        <w:rPr>
          <w:lang w:val="et-EE"/>
        </w:rPr>
        <w:t>3.3.2. kasutusloa saamiseks tagada seadusandluses sätestatud korras NPM magnetmaterjalide tehase toimimiseks kõigi vajalike välistrasside väljaehitamine.</w:t>
      </w:r>
    </w:p>
    <w:p w14:paraId="267FB4DE" w14:textId="77777777" w:rsidR="007B622A" w:rsidRPr="009C21A7" w:rsidRDefault="007B622A" w:rsidP="007B622A">
      <w:pPr>
        <w:rPr>
          <w:b/>
          <w:lang w:val="et-EE"/>
        </w:rPr>
      </w:pPr>
    </w:p>
    <w:p w14:paraId="0C4A7335" w14:textId="77777777" w:rsidR="007B622A" w:rsidRPr="009C21A7" w:rsidRDefault="007B622A" w:rsidP="007B622A">
      <w:pPr>
        <w:rPr>
          <w:b/>
          <w:lang w:val="et-EE"/>
        </w:rPr>
      </w:pPr>
      <w:r w:rsidRPr="009C21A7">
        <w:rPr>
          <w:b/>
          <w:lang w:val="et-EE"/>
        </w:rPr>
        <w:t>4.    RAKENDUSSÄTTED</w:t>
      </w:r>
    </w:p>
    <w:p w14:paraId="1F326178" w14:textId="77777777" w:rsidR="007B622A" w:rsidRPr="009C21A7" w:rsidRDefault="007B622A" w:rsidP="007B622A">
      <w:pPr>
        <w:ind w:left="426" w:hanging="426"/>
        <w:jc w:val="both"/>
        <w:rPr>
          <w:lang w:val="et-EE"/>
        </w:rPr>
      </w:pPr>
      <w:r w:rsidRPr="009C21A7">
        <w:rPr>
          <w:lang w:val="et-EE"/>
        </w:rPr>
        <w:t>4.1. Narva Kulgu tööstuspargi magnetite valmistamise tehase rajamise keskkonnamõju hindamise algatamata jätmise otsusega saab tutvuda Narva Linnavalitsuse Arhitektuuri- ja Linnaplaneerimise Ametis vastuvõtuaegadel - esmaspäeviti kell 13.00-17.00, kolmapäeviti 10.00-12.00 ja 13.00-17.00.</w:t>
      </w:r>
    </w:p>
    <w:p w14:paraId="6AD1E852" w14:textId="77777777" w:rsidR="001C0AF1" w:rsidRPr="009C21A7" w:rsidRDefault="007B622A" w:rsidP="007B622A">
      <w:pPr>
        <w:ind w:left="426" w:hanging="426"/>
        <w:jc w:val="both"/>
        <w:rPr>
          <w:lang w:val="et-EE"/>
        </w:rPr>
      </w:pPr>
      <w:r w:rsidRPr="009C21A7">
        <w:rPr>
          <w:lang w:val="et-EE"/>
        </w:rPr>
        <w:lastRenderedPageBreak/>
        <w:t>4.2.Narva Linnavalitsuse Arhitektuuri- ja Linnaplaneerimise Ametil tea</w:t>
      </w:r>
      <w:r w:rsidR="001C0AF1" w:rsidRPr="009C21A7">
        <w:rPr>
          <w:lang w:val="et-EE"/>
        </w:rPr>
        <w:t>tada keskkonnamõju</w:t>
      </w:r>
      <w:r w:rsidRPr="009C21A7">
        <w:rPr>
          <w:lang w:val="et-EE"/>
        </w:rPr>
        <w:t xml:space="preserve"> hindamise algatamata jätmise otsusest 14 päeva jooksul otsuse tegemisest arvates ametlikus </w:t>
      </w:r>
      <w:r w:rsidR="001C0AF1" w:rsidRPr="009C21A7">
        <w:rPr>
          <w:lang w:val="et-EE"/>
        </w:rPr>
        <w:t>väljaandes Ametlikud Teadaanded.</w:t>
      </w:r>
      <w:r w:rsidRPr="009C21A7">
        <w:rPr>
          <w:lang w:val="et-EE"/>
        </w:rPr>
        <w:t xml:space="preserve"> </w:t>
      </w:r>
    </w:p>
    <w:p w14:paraId="11CA86AE" w14:textId="77777777" w:rsidR="007B622A" w:rsidRPr="009C21A7" w:rsidRDefault="007B622A" w:rsidP="007B622A">
      <w:pPr>
        <w:ind w:left="426" w:hanging="426"/>
        <w:jc w:val="both"/>
        <w:rPr>
          <w:lang w:val="et-EE"/>
        </w:rPr>
      </w:pPr>
      <w:r w:rsidRPr="009C21A7">
        <w:rPr>
          <w:lang w:val="et-EE"/>
        </w:rPr>
        <w:t>4.3. Korraldus jõustub teatavakstegemisest.</w:t>
      </w:r>
    </w:p>
    <w:p w14:paraId="219D827A" w14:textId="77777777" w:rsidR="007B622A" w:rsidRPr="009C21A7" w:rsidRDefault="007B622A" w:rsidP="007B622A">
      <w:pPr>
        <w:ind w:left="426" w:hanging="426"/>
        <w:jc w:val="both"/>
        <w:rPr>
          <w:lang w:val="et-EE"/>
        </w:rPr>
      </w:pPr>
      <w:r w:rsidRPr="009C21A7">
        <w:rPr>
          <w:lang w:val="et-EE"/>
        </w:rPr>
        <w:t>4.4.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2A33DD1" w14:textId="77777777" w:rsidR="007B622A" w:rsidRPr="009C21A7" w:rsidRDefault="007B622A" w:rsidP="007B622A">
      <w:pPr>
        <w:ind w:left="426" w:hanging="426"/>
        <w:jc w:val="both"/>
        <w:rPr>
          <w:lang w:val="et-EE"/>
        </w:rPr>
      </w:pPr>
    </w:p>
    <w:p w14:paraId="3B8736F2" w14:textId="77777777" w:rsidR="007B622A" w:rsidRPr="009C21A7" w:rsidRDefault="007B622A" w:rsidP="007B622A">
      <w:pPr>
        <w:ind w:left="426" w:hanging="426"/>
        <w:jc w:val="both"/>
        <w:rPr>
          <w:lang w:val="et-EE"/>
        </w:rPr>
      </w:pPr>
    </w:p>
    <w:p w14:paraId="4D53A859" w14:textId="77777777" w:rsidR="007B622A" w:rsidRPr="009C21A7" w:rsidRDefault="007B622A" w:rsidP="007B622A">
      <w:pPr>
        <w:ind w:left="426" w:hanging="426"/>
        <w:jc w:val="both"/>
        <w:rPr>
          <w:lang w:val="et-EE"/>
        </w:rPr>
      </w:pPr>
    </w:p>
    <w:p w14:paraId="1D6E2E48" w14:textId="77777777" w:rsidR="007B622A" w:rsidRPr="009C21A7" w:rsidRDefault="007B622A" w:rsidP="007B622A">
      <w:pPr>
        <w:jc w:val="both"/>
        <w:rPr>
          <w:lang w:val="et-EE"/>
        </w:rPr>
      </w:pPr>
    </w:p>
    <w:p w14:paraId="26F252BB" w14:textId="77777777" w:rsidR="007B622A" w:rsidRPr="009C21A7" w:rsidRDefault="007B622A" w:rsidP="007B622A">
      <w:pPr>
        <w:jc w:val="both"/>
        <w:rPr>
          <w:lang w:val="et-EE"/>
        </w:rPr>
      </w:pPr>
    </w:p>
    <w:p w14:paraId="395C89DB" w14:textId="77777777" w:rsidR="007B622A" w:rsidRPr="009C21A7" w:rsidRDefault="007B622A" w:rsidP="007B622A">
      <w:pPr>
        <w:jc w:val="both"/>
        <w:rPr>
          <w:lang w:val="et-EE"/>
        </w:rPr>
      </w:pPr>
      <w:r w:rsidRPr="009C21A7">
        <w:rPr>
          <w:lang w:val="et-EE"/>
        </w:rPr>
        <w:t>Katri Raik                                                                                                       Üllar Kaljuste</w:t>
      </w:r>
    </w:p>
    <w:p w14:paraId="2E2159B2" w14:textId="77777777" w:rsidR="007B622A" w:rsidRPr="00B23E5E" w:rsidRDefault="007B622A" w:rsidP="007B622A">
      <w:pPr>
        <w:ind w:left="454" w:hanging="454"/>
        <w:jc w:val="both"/>
        <w:rPr>
          <w:sz w:val="22"/>
          <w:szCs w:val="22"/>
          <w:lang w:val="et-EE"/>
        </w:rPr>
      </w:pPr>
      <w:r w:rsidRPr="009C21A7">
        <w:rPr>
          <w:lang w:val="et-EE"/>
        </w:rPr>
        <w:t>Linnapea</w:t>
      </w:r>
      <w:r w:rsidRPr="009C21A7">
        <w:rPr>
          <w:lang w:val="et-EE"/>
        </w:rPr>
        <w:tab/>
      </w:r>
      <w:r w:rsidRPr="009C21A7">
        <w:rPr>
          <w:lang w:val="et-EE"/>
        </w:rPr>
        <w:tab/>
      </w:r>
      <w:r w:rsidRPr="009C21A7">
        <w:rPr>
          <w:lang w:val="et-EE"/>
        </w:rPr>
        <w:tab/>
        <w:t xml:space="preserve">                                                                         Linnasekretär</w:t>
      </w:r>
    </w:p>
    <w:p w14:paraId="507AD1E9" w14:textId="77777777" w:rsidR="007B622A" w:rsidRPr="00B23E5E" w:rsidRDefault="007B622A" w:rsidP="007B622A">
      <w:pPr>
        <w:ind w:left="454" w:hanging="454"/>
        <w:jc w:val="both"/>
        <w:rPr>
          <w:sz w:val="22"/>
          <w:szCs w:val="22"/>
          <w:lang w:val="et-EE"/>
        </w:rPr>
      </w:pPr>
      <w:r w:rsidRPr="00B23E5E">
        <w:rPr>
          <w:sz w:val="22"/>
          <w:szCs w:val="22"/>
          <w:lang w:val="et-EE"/>
        </w:rPr>
        <w:t xml:space="preserve">                                                                                                                        </w:t>
      </w:r>
    </w:p>
    <w:p w14:paraId="12D3C618" w14:textId="77777777" w:rsidR="007B622A" w:rsidRPr="000C7420" w:rsidRDefault="007B622A" w:rsidP="007B622A">
      <w:pPr>
        <w:ind w:left="454" w:hanging="454"/>
        <w:jc w:val="both"/>
        <w:rPr>
          <w:lang w:val="et-EE"/>
        </w:rPr>
      </w:pPr>
      <w:r w:rsidRPr="00082105">
        <w:rPr>
          <w:sz w:val="22"/>
          <w:szCs w:val="22"/>
          <w:lang w:val="et-EE"/>
        </w:rPr>
        <w:t xml:space="preserve">                                                                     </w:t>
      </w:r>
      <w:r w:rsidRPr="000C7420">
        <w:rPr>
          <w:lang w:val="et-EE"/>
        </w:rPr>
        <w:t xml:space="preserve">                                                                                </w:t>
      </w:r>
    </w:p>
    <w:p w14:paraId="61633027" w14:textId="77777777" w:rsidR="007B622A" w:rsidRPr="005F1DF9" w:rsidRDefault="007B622A" w:rsidP="007B622A">
      <w:pPr>
        <w:ind w:left="454" w:hanging="454"/>
        <w:rPr>
          <w:sz w:val="22"/>
          <w:szCs w:val="22"/>
          <w:lang w:val="et-EE"/>
        </w:rPr>
      </w:pPr>
      <w:r w:rsidRPr="005F1DF9">
        <w:rPr>
          <w:sz w:val="22"/>
          <w:szCs w:val="22"/>
          <w:lang w:val="et-EE"/>
        </w:rPr>
        <w:t xml:space="preserve">                                                                                   </w:t>
      </w:r>
    </w:p>
    <w:p w14:paraId="353B332B" w14:textId="77777777" w:rsidR="007B622A" w:rsidRPr="00F555AD" w:rsidRDefault="007B622A" w:rsidP="007B622A">
      <w:pPr>
        <w:rPr>
          <w:lang w:val="et-EE"/>
        </w:rPr>
      </w:pPr>
    </w:p>
    <w:p w14:paraId="3B26BAC9" w14:textId="77777777" w:rsidR="007B622A" w:rsidRPr="00057132" w:rsidRDefault="007B622A" w:rsidP="007B622A">
      <w:pPr>
        <w:rPr>
          <w:lang w:val="et-EE"/>
        </w:rPr>
      </w:pPr>
    </w:p>
    <w:p w14:paraId="57D87368" w14:textId="77777777" w:rsidR="007B622A" w:rsidRDefault="007B622A" w:rsidP="007B622A">
      <w:pPr>
        <w:jc w:val="both"/>
        <w:rPr>
          <w:lang w:val="et-EE"/>
        </w:rPr>
      </w:pPr>
    </w:p>
    <w:p w14:paraId="25D03413" w14:textId="77777777" w:rsidR="007B622A" w:rsidRPr="00A455B0" w:rsidRDefault="007B622A" w:rsidP="007B622A">
      <w:pPr>
        <w:rPr>
          <w:lang w:val="et-EE"/>
        </w:rPr>
      </w:pPr>
    </w:p>
    <w:p w14:paraId="3F6A87D5" w14:textId="77777777" w:rsidR="001F401F" w:rsidRPr="007B622A" w:rsidRDefault="001F401F" w:rsidP="007B622A">
      <w:pPr>
        <w:rPr>
          <w:lang w:val="et-EE"/>
        </w:rPr>
      </w:pPr>
    </w:p>
    <w:sectPr w:rsidR="001F401F" w:rsidRPr="007B622A" w:rsidSect="00B23E5E">
      <w:pgSz w:w="11906" w:h="16838"/>
      <w:pgMar w:top="1276" w:right="99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ontserrat Light">
    <w:panose1 w:val="00000000000000000000"/>
    <w:charset w:val="BA"/>
    <w:family w:val="auto"/>
    <w:pitch w:val="variable"/>
    <w:sig w:usb0="A00002FF" w:usb1="4000207B"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F0AC3"/>
    <w:multiLevelType w:val="multilevel"/>
    <w:tmpl w:val="22740500"/>
    <w:lvl w:ilvl="0">
      <w:start w:val="2"/>
      <w:numFmt w:val="decimal"/>
      <w:lvlText w:val="%1"/>
      <w:lvlJc w:val="left"/>
      <w:pPr>
        <w:ind w:left="360" w:hanging="360"/>
      </w:pPr>
      <w:rPr>
        <w:rFonts w:ascii="Times New Roman" w:hAnsi="Times New Roman" w:cs="Times New Roman" w:hint="default"/>
        <w:sz w:val="24"/>
      </w:rPr>
    </w:lvl>
    <w:lvl w:ilvl="1">
      <w:start w:val="6"/>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427B2"/>
    <w:multiLevelType w:val="hybridMultilevel"/>
    <w:tmpl w:val="238E47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B97F8A"/>
    <w:multiLevelType w:val="hybridMultilevel"/>
    <w:tmpl w:val="60E49C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A285B0B"/>
    <w:multiLevelType w:val="multilevel"/>
    <w:tmpl w:val="985C7918"/>
    <w:lvl w:ilvl="0">
      <w:start w:val="2"/>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710E6AE0"/>
    <w:multiLevelType w:val="hybridMultilevel"/>
    <w:tmpl w:val="17825058"/>
    <w:lvl w:ilvl="0" w:tplc="E8FA62CE">
      <w:start w:val="1"/>
      <w:numFmt w:val="decimal"/>
      <w:lvlText w:val="%1"/>
      <w:lvlJc w:val="left"/>
      <w:pPr>
        <w:ind w:left="660" w:hanging="360"/>
      </w:pPr>
      <w:rPr>
        <w:rFonts w:hint="default"/>
      </w:rPr>
    </w:lvl>
    <w:lvl w:ilvl="1" w:tplc="04250019" w:tentative="1">
      <w:start w:val="1"/>
      <w:numFmt w:val="lowerLetter"/>
      <w:lvlText w:val="%2."/>
      <w:lvlJc w:val="left"/>
      <w:pPr>
        <w:ind w:left="1380" w:hanging="360"/>
      </w:pPr>
    </w:lvl>
    <w:lvl w:ilvl="2" w:tplc="0425001B" w:tentative="1">
      <w:start w:val="1"/>
      <w:numFmt w:val="lowerRoman"/>
      <w:lvlText w:val="%3."/>
      <w:lvlJc w:val="right"/>
      <w:pPr>
        <w:ind w:left="2100" w:hanging="180"/>
      </w:pPr>
    </w:lvl>
    <w:lvl w:ilvl="3" w:tplc="0425000F" w:tentative="1">
      <w:start w:val="1"/>
      <w:numFmt w:val="decimal"/>
      <w:lvlText w:val="%4."/>
      <w:lvlJc w:val="left"/>
      <w:pPr>
        <w:ind w:left="2820" w:hanging="360"/>
      </w:pPr>
    </w:lvl>
    <w:lvl w:ilvl="4" w:tplc="04250019" w:tentative="1">
      <w:start w:val="1"/>
      <w:numFmt w:val="lowerLetter"/>
      <w:lvlText w:val="%5."/>
      <w:lvlJc w:val="left"/>
      <w:pPr>
        <w:ind w:left="3540" w:hanging="360"/>
      </w:pPr>
    </w:lvl>
    <w:lvl w:ilvl="5" w:tplc="0425001B" w:tentative="1">
      <w:start w:val="1"/>
      <w:numFmt w:val="lowerRoman"/>
      <w:lvlText w:val="%6."/>
      <w:lvlJc w:val="right"/>
      <w:pPr>
        <w:ind w:left="4260" w:hanging="180"/>
      </w:pPr>
    </w:lvl>
    <w:lvl w:ilvl="6" w:tplc="0425000F" w:tentative="1">
      <w:start w:val="1"/>
      <w:numFmt w:val="decimal"/>
      <w:lvlText w:val="%7."/>
      <w:lvlJc w:val="left"/>
      <w:pPr>
        <w:ind w:left="4980" w:hanging="360"/>
      </w:pPr>
    </w:lvl>
    <w:lvl w:ilvl="7" w:tplc="04250019" w:tentative="1">
      <w:start w:val="1"/>
      <w:numFmt w:val="lowerLetter"/>
      <w:lvlText w:val="%8."/>
      <w:lvlJc w:val="left"/>
      <w:pPr>
        <w:ind w:left="5700" w:hanging="360"/>
      </w:pPr>
    </w:lvl>
    <w:lvl w:ilvl="8" w:tplc="0425001B" w:tentative="1">
      <w:start w:val="1"/>
      <w:numFmt w:val="lowerRoman"/>
      <w:lvlText w:val="%9."/>
      <w:lvlJc w:val="right"/>
      <w:pPr>
        <w:ind w:left="6420" w:hanging="180"/>
      </w:pPr>
    </w:lvl>
  </w:abstractNum>
  <w:abstractNum w:abstractNumId="7" w15:restartNumberingAfterBreak="0">
    <w:nsid w:val="72C12982"/>
    <w:multiLevelType w:val="hybridMultilevel"/>
    <w:tmpl w:val="B5065962"/>
    <w:lvl w:ilvl="0" w:tplc="83A0F6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1649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342178">
    <w:abstractNumId w:val="1"/>
  </w:num>
  <w:num w:numId="3" w16cid:durableId="1627468562">
    <w:abstractNumId w:val="7"/>
  </w:num>
  <w:num w:numId="4" w16cid:durableId="150871103">
    <w:abstractNumId w:val="4"/>
  </w:num>
  <w:num w:numId="5" w16cid:durableId="865365194">
    <w:abstractNumId w:val="6"/>
  </w:num>
  <w:num w:numId="6" w16cid:durableId="2098280530">
    <w:abstractNumId w:val="0"/>
  </w:num>
  <w:num w:numId="7" w16cid:durableId="44986403">
    <w:abstractNumId w:val="2"/>
  </w:num>
  <w:num w:numId="8" w16cid:durableId="63797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132"/>
    <w:rsid w:val="00013230"/>
    <w:rsid w:val="00057132"/>
    <w:rsid w:val="001927C9"/>
    <w:rsid w:val="00197A09"/>
    <w:rsid w:val="001C0AF1"/>
    <w:rsid w:val="001E242D"/>
    <w:rsid w:val="001F401F"/>
    <w:rsid w:val="00211AC1"/>
    <w:rsid w:val="002A460C"/>
    <w:rsid w:val="002D62C0"/>
    <w:rsid w:val="002F6202"/>
    <w:rsid w:val="00321AC8"/>
    <w:rsid w:val="003C1CDB"/>
    <w:rsid w:val="00413A17"/>
    <w:rsid w:val="004F005D"/>
    <w:rsid w:val="005C6314"/>
    <w:rsid w:val="006022D2"/>
    <w:rsid w:val="006479CB"/>
    <w:rsid w:val="00666737"/>
    <w:rsid w:val="006C4FD0"/>
    <w:rsid w:val="007B622A"/>
    <w:rsid w:val="007C46BE"/>
    <w:rsid w:val="00817A04"/>
    <w:rsid w:val="00894429"/>
    <w:rsid w:val="00951936"/>
    <w:rsid w:val="009618F2"/>
    <w:rsid w:val="00971813"/>
    <w:rsid w:val="009C21A7"/>
    <w:rsid w:val="00A455B0"/>
    <w:rsid w:val="00AB686A"/>
    <w:rsid w:val="00BC0DFF"/>
    <w:rsid w:val="00BE57EE"/>
    <w:rsid w:val="00C63713"/>
    <w:rsid w:val="00D3200D"/>
    <w:rsid w:val="00EF2929"/>
    <w:rsid w:val="00F07E82"/>
    <w:rsid w:val="00F118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DDD0"/>
  <w15:chartTrackingRefBased/>
  <w15:docId w15:val="{4DD65723-6CA5-4F6C-8B01-56159076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132"/>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57132"/>
    <w:pPr>
      <w:spacing w:before="100" w:beforeAutospacing="1" w:after="100" w:afterAutospacing="1"/>
    </w:pPr>
    <w:rPr>
      <w:color w:val="000000"/>
    </w:rPr>
  </w:style>
  <w:style w:type="character" w:styleId="a4">
    <w:name w:val="Hyperlink"/>
    <w:basedOn w:val="a0"/>
    <w:uiPriority w:val="99"/>
    <w:unhideWhenUsed/>
    <w:rsid w:val="006022D2"/>
    <w:rPr>
      <w:color w:val="0563C1" w:themeColor="hyperlink"/>
      <w:u w:val="single"/>
    </w:rPr>
  </w:style>
  <w:style w:type="paragraph" w:styleId="a5">
    <w:name w:val="List Paragraph"/>
    <w:basedOn w:val="a"/>
    <w:uiPriority w:val="99"/>
    <w:qFormat/>
    <w:rsid w:val="006022D2"/>
    <w:pPr>
      <w:spacing w:after="160" w:line="259" w:lineRule="auto"/>
      <w:ind w:left="720"/>
      <w:contextualSpacing/>
    </w:pPr>
    <w:rPr>
      <w:rFonts w:asciiTheme="minorHAnsi" w:eastAsiaTheme="minorHAnsi" w:hAnsiTheme="minorHAnsi" w:cstheme="minorBidi"/>
      <w:sz w:val="22"/>
      <w:szCs w:val="22"/>
      <w:lang w:val="en-GB"/>
    </w:rPr>
  </w:style>
  <w:style w:type="paragraph" w:styleId="a6">
    <w:name w:val="No Spacing"/>
    <w:uiPriority w:val="1"/>
    <w:qFormat/>
    <w:rsid w:val="00A455B0"/>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486083">
      <w:bodyDiv w:val="1"/>
      <w:marLeft w:val="0"/>
      <w:marRight w:val="0"/>
      <w:marTop w:val="0"/>
      <w:marBottom w:val="0"/>
      <w:divBdr>
        <w:top w:val="none" w:sz="0" w:space="0" w:color="auto"/>
        <w:left w:val="none" w:sz="0" w:space="0" w:color="auto"/>
        <w:bottom w:val="none" w:sz="0" w:space="0" w:color="auto"/>
        <w:right w:val="none" w:sz="0" w:space="0" w:color="auto"/>
      </w:divBdr>
    </w:div>
    <w:div w:id="1540508372">
      <w:bodyDiv w:val="1"/>
      <w:marLeft w:val="0"/>
      <w:marRight w:val="0"/>
      <w:marTop w:val="0"/>
      <w:marBottom w:val="0"/>
      <w:divBdr>
        <w:top w:val="none" w:sz="0" w:space="0" w:color="auto"/>
        <w:left w:val="none" w:sz="0" w:space="0" w:color="auto"/>
        <w:bottom w:val="none" w:sz="0" w:space="0" w:color="auto"/>
        <w:right w:val="none" w:sz="0" w:space="0" w:color="auto"/>
      </w:divBdr>
    </w:div>
    <w:div w:id="1607497861">
      <w:bodyDiv w:val="1"/>
      <w:marLeft w:val="0"/>
      <w:marRight w:val="0"/>
      <w:marTop w:val="0"/>
      <w:marBottom w:val="0"/>
      <w:divBdr>
        <w:top w:val="none" w:sz="0" w:space="0" w:color="auto"/>
        <w:left w:val="none" w:sz="0" w:space="0" w:color="auto"/>
        <w:bottom w:val="none" w:sz="0" w:space="0" w:color="auto"/>
        <w:right w:val="none" w:sz="0" w:space="0" w:color="auto"/>
      </w:divBdr>
      <w:divsChild>
        <w:div w:id="2139640924">
          <w:marLeft w:val="0"/>
          <w:marRight w:val="0"/>
          <w:marTop w:val="0"/>
          <w:marBottom w:val="0"/>
          <w:divBdr>
            <w:top w:val="none" w:sz="0" w:space="0" w:color="auto"/>
            <w:left w:val="none" w:sz="0" w:space="0" w:color="auto"/>
            <w:bottom w:val="none" w:sz="0" w:space="0" w:color="auto"/>
            <w:right w:val="none" w:sz="0" w:space="0" w:color="auto"/>
          </w:divBdr>
          <w:divsChild>
            <w:div w:id="20928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rvalv@narva.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6</Pages>
  <Words>3023</Words>
  <Characters>17534</Characters>
  <Application>Microsoft Office Word</Application>
  <DocSecurity>0</DocSecurity>
  <Lines>146</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Linnakantselei</Company>
  <LinksUpToDate>false</LinksUpToDate>
  <CharactersWithSpaces>20516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S S</cp:lastModifiedBy>
  <cp:revision>6</cp:revision>
  <dcterms:created xsi:type="dcterms:W3CDTF">2023-05-10T11:31:00Z</dcterms:created>
  <dcterms:modified xsi:type="dcterms:W3CDTF">2023-05-10T13:20:00Z</dcterms:modified>
</cp:coreProperties>
</file>